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45" w:rsidRPr="00412710" w:rsidRDefault="00493F09" w:rsidP="00FB1EE7">
      <w:pPr>
        <w:outlineLvl w:val="0"/>
        <w:rPr>
          <w:rFonts w:ascii="Helvetica" w:hAnsi="Helvetica"/>
          <w:sz w:val="24"/>
          <w:szCs w:val="24"/>
        </w:rPr>
      </w:pPr>
      <w:r>
        <w:rPr>
          <w:rFonts w:ascii="Helvetica" w:hAnsi="Helvetica"/>
          <w:sz w:val="24"/>
          <w:szCs w:val="24"/>
        </w:rPr>
        <w:t xml:space="preserve">National Summary - </w:t>
      </w:r>
      <w:r w:rsidR="00412710" w:rsidRPr="00412710">
        <w:rPr>
          <w:rFonts w:ascii="Helvetica" w:hAnsi="Helvetica"/>
          <w:sz w:val="24"/>
          <w:szCs w:val="24"/>
        </w:rPr>
        <w:t>2010</w:t>
      </w:r>
      <w:r w:rsidR="00E87A63">
        <w:rPr>
          <w:rFonts w:ascii="Helvetica" w:hAnsi="Helvetica"/>
          <w:sz w:val="24"/>
          <w:szCs w:val="24"/>
        </w:rPr>
        <w:t xml:space="preserve"> </w:t>
      </w:r>
      <w:r w:rsidR="001F5D9B" w:rsidRPr="0015060E">
        <w:rPr>
          <w:rFonts w:ascii="Helvetica" w:hAnsi="Helvetica"/>
          <w:b/>
          <w:i/>
          <w:color w:val="663399"/>
          <w:sz w:val="24"/>
          <w:szCs w:val="24"/>
        </w:rPr>
        <w:t>GhostDigest</w:t>
      </w:r>
      <w:r w:rsidR="00E87A63">
        <w:rPr>
          <w:rFonts w:ascii="Helvetica" w:hAnsi="Helvetica"/>
          <w:sz w:val="24"/>
          <w:szCs w:val="24"/>
        </w:rPr>
        <w:t xml:space="preserve"> </w:t>
      </w:r>
      <w:r w:rsidR="00412710" w:rsidRPr="00412710">
        <w:rPr>
          <w:rFonts w:ascii="Helvetica" w:hAnsi="Helvetica"/>
          <w:sz w:val="24"/>
          <w:szCs w:val="24"/>
        </w:rPr>
        <w:t>Conveyancing Survey</w:t>
      </w:r>
    </w:p>
    <w:p w:rsidR="009A161C" w:rsidRDefault="004642C4" w:rsidP="009A161C">
      <w:r>
        <w:t>Thank you for participating in a</w:t>
      </w:r>
      <w:r w:rsidR="009A161C" w:rsidRPr="009A161C">
        <w:t xml:space="preserve"> hugely successful survey in which over 980 responses were received.  </w:t>
      </w:r>
      <w:r>
        <w:t>W</w:t>
      </w:r>
      <w:r w:rsidR="009A161C" w:rsidRPr="009A161C">
        <w:t xml:space="preserve">e hope very much that you will find the results as interesting and illuminating as we have.   Before we turn to the analysis of the results, a quick note on the methodology we used to filter down the results, and the graphs we chose to present the most accurate picture possible. </w:t>
      </w:r>
    </w:p>
    <w:p w:rsidR="00B33272" w:rsidRPr="009A161C" w:rsidRDefault="00B33272" w:rsidP="009A161C"/>
    <w:p w:rsidR="009A161C" w:rsidRPr="009A161C" w:rsidRDefault="009A161C" w:rsidP="009A161C">
      <w:r w:rsidRPr="009A161C">
        <w:t>Responses were collected and divided into their relevant regions.</w:t>
      </w:r>
    </w:p>
    <w:p w:rsidR="009A161C" w:rsidRPr="009A161C" w:rsidRDefault="009A161C" w:rsidP="009A161C"/>
    <w:p w:rsidR="009A161C" w:rsidRPr="009A161C" w:rsidRDefault="009A161C" w:rsidP="009A161C">
      <w:r w:rsidRPr="009A161C">
        <w:t xml:space="preserve">Then sorted according to their IP Addresses (Survey Monkey, the software which we used to conduct the survey collects the IP Addresses of respondents, we can't know however who you are though)  - those that were the same were highly likely to have come from the same firms, and in fact the high correlation between answers confirmed this fact.  As an interesting aside quite a few of the more suspicious respondents read through the survey and did not answer anything, then re did it, this time answering the questions. </w:t>
      </w:r>
    </w:p>
    <w:p w:rsidR="009A161C" w:rsidRPr="009A161C" w:rsidRDefault="009A161C" w:rsidP="009A161C"/>
    <w:p w:rsidR="009A161C" w:rsidRPr="009A161C" w:rsidRDefault="009A161C" w:rsidP="009A161C">
      <w:r w:rsidRPr="009A161C">
        <w:t>A number of respondents did not respond at all apart from answering the first question, other responses were non-</w:t>
      </w:r>
      <w:proofErr w:type="spellStart"/>
      <w:proofErr w:type="gramStart"/>
      <w:r w:rsidRPr="009A161C">
        <w:t>sensical</w:t>
      </w:r>
      <w:proofErr w:type="spellEnd"/>
      <w:r w:rsidRPr="009A161C">
        <w:t xml:space="preserve"> ,</w:t>
      </w:r>
      <w:proofErr w:type="gramEnd"/>
      <w:r w:rsidRPr="009A161C">
        <w:t xml:space="preserve"> these too were excluded.</w:t>
      </w:r>
      <w:r w:rsidR="00715232">
        <w:t xml:space="preserve">  </w:t>
      </w:r>
      <w:r w:rsidR="00715232" w:rsidRPr="00715232">
        <w:t>We have not reproduced all the answers as some of the questions were not clear enough while others such as the one about Internet Connectivity are pointless (only 19 firms still use a dial up connection).  Unfortunately the question about the Internet Service Providers excluded a few ISPs from the list so it is skew</w:t>
      </w:r>
      <w:r w:rsidR="00715232">
        <w:t>e</w:t>
      </w:r>
      <w:r w:rsidR="00715232" w:rsidRPr="00715232">
        <w:t xml:space="preserve">d in favour of Telkom and Other.  </w:t>
      </w:r>
    </w:p>
    <w:p w:rsidR="009A161C" w:rsidRPr="009A161C" w:rsidRDefault="009A161C" w:rsidP="009A161C"/>
    <w:p w:rsidR="009A161C" w:rsidRPr="009A161C" w:rsidRDefault="009A161C" w:rsidP="009A161C">
      <w:r w:rsidRPr="009A161C">
        <w:t>This left us with lots to work with as the following table</w:t>
      </w:r>
      <w:r w:rsidR="00957B92">
        <w:t>s</w:t>
      </w:r>
      <w:r w:rsidRPr="009A161C">
        <w:t xml:space="preserve"> and graphs below show</w:t>
      </w:r>
      <w:r>
        <w:t>.</w:t>
      </w:r>
    </w:p>
    <w:p w:rsidR="00683895" w:rsidRDefault="00683895"/>
    <w:p w:rsidR="00683895" w:rsidRDefault="00683895"/>
    <w:p w:rsidR="00430797" w:rsidRDefault="00430797"/>
    <w:p w:rsidR="00430797" w:rsidRDefault="00430797"/>
    <w:p w:rsidR="00430797" w:rsidRDefault="00430797"/>
    <w:p w:rsidR="00430797" w:rsidRDefault="00430797"/>
    <w:p w:rsidR="00430797" w:rsidRDefault="00430797"/>
    <w:p w:rsidR="00430797" w:rsidRDefault="00430797"/>
    <w:p w:rsidR="00430797" w:rsidRDefault="00430797"/>
    <w:p w:rsidR="00430797" w:rsidRDefault="00430797">
      <w:pPr>
        <w:rPr>
          <w:b/>
        </w:rPr>
      </w:pPr>
      <w:r>
        <w:rPr>
          <w:b/>
        </w:rPr>
        <w:t>Number of partners in firm</w:t>
      </w:r>
    </w:p>
    <w:p w:rsidR="00430797" w:rsidRPr="00430797" w:rsidRDefault="00430797">
      <w:pPr>
        <w:rPr>
          <w:b/>
        </w:rPr>
      </w:pPr>
    </w:p>
    <w:p w:rsidR="00FB1EE7" w:rsidRDefault="00FB1EE7">
      <w:r>
        <w:rPr>
          <w:noProof/>
          <w:lang w:eastAsia="en-ZA"/>
        </w:rPr>
        <w:lastRenderedPageBreak/>
        <w:drawing>
          <wp:inline distT="0" distB="0" distL="0" distR="0">
            <wp:extent cx="5581650" cy="301942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1EE7" w:rsidRDefault="00FB1EE7"/>
    <w:p w:rsidR="004675EF" w:rsidRDefault="00957B92">
      <w:pPr>
        <w:rPr>
          <w:b/>
        </w:rPr>
      </w:pPr>
      <w:r>
        <w:rPr>
          <w:b/>
        </w:rPr>
        <w:t xml:space="preserve">Postage and </w:t>
      </w:r>
      <w:proofErr w:type="spellStart"/>
      <w:r>
        <w:rPr>
          <w:b/>
        </w:rPr>
        <w:t>Petties</w:t>
      </w:r>
      <w:proofErr w:type="spellEnd"/>
      <w:r>
        <w:rPr>
          <w:b/>
        </w:rPr>
        <w:t xml:space="preserve"> Recovery </w:t>
      </w:r>
    </w:p>
    <w:p w:rsidR="00957B92" w:rsidRDefault="00957B92">
      <w:r>
        <w:t>I have included the data from the survey to better illustrate the graphs.</w:t>
      </w:r>
    </w:p>
    <w:p w:rsidR="00B91E56" w:rsidRPr="00957B92" w:rsidRDefault="00B91E56"/>
    <w:p w:rsidR="00FB1EE7" w:rsidRDefault="00FB1EE7">
      <w:r w:rsidRPr="00FB1EE7">
        <w:drawing>
          <wp:inline distT="0" distB="0" distL="0" distR="0">
            <wp:extent cx="5581650" cy="3467100"/>
            <wp:effectExtent l="19050" t="0" r="19050" b="0"/>
            <wp:docPr id="3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5232" w:rsidRDefault="00715232"/>
    <w:tbl>
      <w:tblPr>
        <w:tblStyle w:val="TableGrid"/>
        <w:tblW w:w="7709" w:type="dxa"/>
        <w:tblInd w:w="665" w:type="dxa"/>
        <w:tblLook w:val="04A0"/>
      </w:tblPr>
      <w:tblGrid>
        <w:gridCol w:w="1730"/>
        <w:gridCol w:w="1464"/>
        <w:gridCol w:w="1352"/>
        <w:gridCol w:w="1705"/>
        <w:gridCol w:w="1458"/>
      </w:tblGrid>
      <w:tr w:rsidR="00715232" w:rsidRPr="009A161C" w:rsidTr="00715232">
        <w:trPr>
          <w:trHeight w:val="225"/>
        </w:trPr>
        <w:tc>
          <w:tcPr>
            <w:tcW w:w="7709" w:type="dxa"/>
            <w:gridSpan w:val="5"/>
            <w:noWrap/>
            <w:hideMark/>
          </w:tcPr>
          <w:p w:rsidR="00715232" w:rsidRPr="009A161C" w:rsidRDefault="00715232" w:rsidP="00715232">
            <w:pPr>
              <w:jc w:val="center"/>
              <w:rPr>
                <w:b/>
                <w:bCs/>
              </w:rPr>
            </w:pPr>
            <w:r>
              <w:rPr>
                <w:b/>
                <w:bCs/>
              </w:rPr>
              <w:t xml:space="preserve">Postage and </w:t>
            </w:r>
            <w:proofErr w:type="spellStart"/>
            <w:r>
              <w:rPr>
                <w:b/>
                <w:bCs/>
              </w:rPr>
              <w:t>Petties</w:t>
            </w:r>
            <w:proofErr w:type="spellEnd"/>
            <w:r>
              <w:rPr>
                <w:b/>
                <w:bCs/>
              </w:rPr>
              <w:t xml:space="preserve"> Recovery - Transfers</w:t>
            </w:r>
          </w:p>
        </w:tc>
      </w:tr>
      <w:tr w:rsidR="009A161C" w:rsidRPr="009A161C" w:rsidTr="00715232">
        <w:trPr>
          <w:trHeight w:val="225"/>
        </w:trPr>
        <w:tc>
          <w:tcPr>
            <w:tcW w:w="1730" w:type="dxa"/>
            <w:noWrap/>
            <w:hideMark/>
          </w:tcPr>
          <w:p w:rsidR="009A161C" w:rsidRPr="009A161C" w:rsidRDefault="009A161C">
            <w:pPr>
              <w:rPr>
                <w:b/>
                <w:bCs/>
              </w:rPr>
            </w:pPr>
          </w:p>
        </w:tc>
        <w:tc>
          <w:tcPr>
            <w:tcW w:w="1464" w:type="dxa"/>
          </w:tcPr>
          <w:p w:rsidR="009A161C" w:rsidRPr="009A161C" w:rsidRDefault="009A161C" w:rsidP="00715232">
            <w:pPr>
              <w:rPr>
                <w:b/>
                <w:bCs/>
              </w:rPr>
            </w:pPr>
            <w:r w:rsidRPr="009A161C">
              <w:rPr>
                <w:b/>
                <w:bCs/>
              </w:rPr>
              <w:t>Lower 1/4</w:t>
            </w:r>
          </w:p>
        </w:tc>
        <w:tc>
          <w:tcPr>
            <w:tcW w:w="1352" w:type="dxa"/>
          </w:tcPr>
          <w:p w:rsidR="009A161C" w:rsidRPr="009A161C" w:rsidRDefault="009A161C" w:rsidP="00715232">
            <w:pPr>
              <w:rPr>
                <w:b/>
                <w:bCs/>
              </w:rPr>
            </w:pPr>
            <w:r w:rsidRPr="009A161C">
              <w:rPr>
                <w:b/>
                <w:bCs/>
              </w:rPr>
              <w:t>Median</w:t>
            </w:r>
          </w:p>
        </w:tc>
        <w:tc>
          <w:tcPr>
            <w:tcW w:w="1705" w:type="dxa"/>
            <w:noWrap/>
            <w:hideMark/>
          </w:tcPr>
          <w:p w:rsidR="009A161C" w:rsidRPr="009A161C" w:rsidRDefault="009A161C">
            <w:pPr>
              <w:rPr>
                <w:b/>
                <w:bCs/>
              </w:rPr>
            </w:pPr>
            <w:r w:rsidRPr="009A161C">
              <w:rPr>
                <w:b/>
                <w:bCs/>
              </w:rPr>
              <w:t>Three quarter</w:t>
            </w:r>
          </w:p>
        </w:tc>
        <w:tc>
          <w:tcPr>
            <w:tcW w:w="1458" w:type="dxa"/>
          </w:tcPr>
          <w:p w:rsidR="009A161C" w:rsidRPr="009A161C" w:rsidRDefault="009A161C" w:rsidP="00715232">
            <w:pPr>
              <w:rPr>
                <w:b/>
                <w:bCs/>
              </w:rPr>
            </w:pPr>
            <w:r w:rsidRPr="009A161C">
              <w:rPr>
                <w:b/>
                <w:bCs/>
              </w:rPr>
              <w:t>High</w:t>
            </w:r>
          </w:p>
        </w:tc>
      </w:tr>
      <w:tr w:rsidR="009A161C" w:rsidRPr="009A161C" w:rsidTr="00715232">
        <w:trPr>
          <w:trHeight w:val="225"/>
        </w:trPr>
        <w:tc>
          <w:tcPr>
            <w:tcW w:w="1730" w:type="dxa"/>
            <w:noWrap/>
            <w:hideMark/>
          </w:tcPr>
          <w:p w:rsidR="009A161C" w:rsidRPr="009A161C" w:rsidRDefault="009A161C">
            <w:r w:rsidRPr="009A161C">
              <w:lastRenderedPageBreak/>
              <w:t>National Average</w:t>
            </w:r>
          </w:p>
        </w:tc>
        <w:tc>
          <w:tcPr>
            <w:tcW w:w="1464" w:type="dxa"/>
          </w:tcPr>
          <w:p w:rsidR="009A161C" w:rsidRPr="009A161C" w:rsidRDefault="009A161C" w:rsidP="00715232">
            <w:r w:rsidRPr="009A161C">
              <w:t>350</w:t>
            </w:r>
          </w:p>
        </w:tc>
        <w:tc>
          <w:tcPr>
            <w:tcW w:w="1352" w:type="dxa"/>
          </w:tcPr>
          <w:p w:rsidR="009A161C" w:rsidRPr="009A161C" w:rsidRDefault="009A161C" w:rsidP="00715232">
            <w:r w:rsidRPr="009A161C">
              <w:t>450</w:t>
            </w:r>
          </w:p>
        </w:tc>
        <w:tc>
          <w:tcPr>
            <w:tcW w:w="1705" w:type="dxa"/>
            <w:noWrap/>
            <w:hideMark/>
          </w:tcPr>
          <w:p w:rsidR="009A161C" w:rsidRPr="009A161C" w:rsidRDefault="009A161C" w:rsidP="009A161C">
            <w:r w:rsidRPr="009A161C">
              <w:t>500</w:t>
            </w:r>
          </w:p>
        </w:tc>
        <w:tc>
          <w:tcPr>
            <w:tcW w:w="1458" w:type="dxa"/>
          </w:tcPr>
          <w:p w:rsidR="009A161C" w:rsidRPr="009A161C" w:rsidRDefault="009A161C" w:rsidP="00715232">
            <w:r w:rsidRPr="009A161C">
              <w:t>1000</w:t>
            </w:r>
          </w:p>
        </w:tc>
      </w:tr>
      <w:tr w:rsidR="009A161C" w:rsidRPr="009A161C" w:rsidTr="00715232">
        <w:trPr>
          <w:trHeight w:val="225"/>
        </w:trPr>
        <w:tc>
          <w:tcPr>
            <w:tcW w:w="1730" w:type="dxa"/>
            <w:noWrap/>
            <w:hideMark/>
          </w:tcPr>
          <w:p w:rsidR="009A161C" w:rsidRPr="009A161C" w:rsidRDefault="009A161C">
            <w:r w:rsidRPr="009A161C">
              <w:t>Bloemfontein</w:t>
            </w:r>
          </w:p>
        </w:tc>
        <w:tc>
          <w:tcPr>
            <w:tcW w:w="1464" w:type="dxa"/>
          </w:tcPr>
          <w:p w:rsidR="009A161C" w:rsidRPr="009A161C" w:rsidRDefault="009A161C" w:rsidP="00715232">
            <w:r w:rsidRPr="009A161C">
              <w:t>344</w:t>
            </w:r>
          </w:p>
        </w:tc>
        <w:tc>
          <w:tcPr>
            <w:tcW w:w="1352" w:type="dxa"/>
          </w:tcPr>
          <w:p w:rsidR="009A161C" w:rsidRPr="009A161C" w:rsidRDefault="009A161C" w:rsidP="00715232">
            <w:r w:rsidRPr="009A161C">
              <w:t>350</w:t>
            </w:r>
          </w:p>
        </w:tc>
        <w:tc>
          <w:tcPr>
            <w:tcW w:w="1705" w:type="dxa"/>
            <w:noWrap/>
            <w:hideMark/>
          </w:tcPr>
          <w:p w:rsidR="009A161C" w:rsidRPr="009A161C" w:rsidRDefault="009A161C" w:rsidP="009A161C">
            <w:r w:rsidRPr="009A161C">
              <w:t>500</w:t>
            </w:r>
          </w:p>
        </w:tc>
        <w:tc>
          <w:tcPr>
            <w:tcW w:w="1458" w:type="dxa"/>
          </w:tcPr>
          <w:p w:rsidR="009A161C" w:rsidRPr="009A161C" w:rsidRDefault="009A161C" w:rsidP="00715232">
            <w:r w:rsidRPr="009A161C">
              <w:t>800</w:t>
            </w:r>
          </w:p>
        </w:tc>
      </w:tr>
      <w:tr w:rsidR="009A161C" w:rsidRPr="009A161C" w:rsidTr="00715232">
        <w:trPr>
          <w:trHeight w:val="225"/>
        </w:trPr>
        <w:tc>
          <w:tcPr>
            <w:tcW w:w="1730" w:type="dxa"/>
            <w:noWrap/>
            <w:hideMark/>
          </w:tcPr>
          <w:p w:rsidR="009A161C" w:rsidRPr="009A161C" w:rsidRDefault="009A161C">
            <w:r w:rsidRPr="009A161C">
              <w:t>Cape Town</w:t>
            </w:r>
          </w:p>
        </w:tc>
        <w:tc>
          <w:tcPr>
            <w:tcW w:w="1464" w:type="dxa"/>
          </w:tcPr>
          <w:p w:rsidR="009A161C" w:rsidRPr="009A161C" w:rsidRDefault="009A161C" w:rsidP="00715232">
            <w:r w:rsidRPr="009A161C">
              <w:t>350</w:t>
            </w:r>
          </w:p>
        </w:tc>
        <w:tc>
          <w:tcPr>
            <w:tcW w:w="1352" w:type="dxa"/>
          </w:tcPr>
          <w:p w:rsidR="009A161C" w:rsidRPr="009A161C" w:rsidRDefault="009A161C" w:rsidP="00715232">
            <w:r w:rsidRPr="009A161C">
              <w:t>450</w:t>
            </w:r>
          </w:p>
        </w:tc>
        <w:tc>
          <w:tcPr>
            <w:tcW w:w="1705" w:type="dxa"/>
            <w:noWrap/>
            <w:hideMark/>
          </w:tcPr>
          <w:p w:rsidR="009A161C" w:rsidRPr="009A161C" w:rsidRDefault="009A161C" w:rsidP="009A161C">
            <w:r w:rsidRPr="009A161C">
              <w:t>500</w:t>
            </w:r>
          </w:p>
        </w:tc>
        <w:tc>
          <w:tcPr>
            <w:tcW w:w="1458" w:type="dxa"/>
          </w:tcPr>
          <w:p w:rsidR="009A161C" w:rsidRPr="009A161C" w:rsidRDefault="009A161C" w:rsidP="00715232">
            <w:r w:rsidRPr="009A161C">
              <w:t>950</w:t>
            </w:r>
          </w:p>
        </w:tc>
      </w:tr>
      <w:tr w:rsidR="009A161C" w:rsidRPr="009A161C" w:rsidTr="00715232">
        <w:trPr>
          <w:trHeight w:val="225"/>
        </w:trPr>
        <w:tc>
          <w:tcPr>
            <w:tcW w:w="1730" w:type="dxa"/>
            <w:noWrap/>
            <w:hideMark/>
          </w:tcPr>
          <w:p w:rsidR="009A161C" w:rsidRPr="009A161C" w:rsidRDefault="009A161C">
            <w:r w:rsidRPr="009A161C">
              <w:t>Durban</w:t>
            </w:r>
          </w:p>
        </w:tc>
        <w:tc>
          <w:tcPr>
            <w:tcW w:w="1464" w:type="dxa"/>
          </w:tcPr>
          <w:p w:rsidR="009A161C" w:rsidRPr="009A161C" w:rsidRDefault="009A161C" w:rsidP="00715232">
            <w:r w:rsidRPr="009A161C">
              <w:t>350</w:t>
            </w:r>
          </w:p>
        </w:tc>
        <w:tc>
          <w:tcPr>
            <w:tcW w:w="1352" w:type="dxa"/>
          </w:tcPr>
          <w:p w:rsidR="009A161C" w:rsidRPr="009A161C" w:rsidRDefault="009A161C" w:rsidP="00715232">
            <w:r w:rsidRPr="009A161C">
              <w:t>400</w:t>
            </w:r>
          </w:p>
        </w:tc>
        <w:tc>
          <w:tcPr>
            <w:tcW w:w="1705" w:type="dxa"/>
            <w:noWrap/>
            <w:hideMark/>
          </w:tcPr>
          <w:p w:rsidR="009A161C" w:rsidRPr="009A161C" w:rsidRDefault="009A161C" w:rsidP="009A161C">
            <w:r w:rsidRPr="009A161C">
              <w:t>500</w:t>
            </w:r>
          </w:p>
        </w:tc>
        <w:tc>
          <w:tcPr>
            <w:tcW w:w="1458" w:type="dxa"/>
          </w:tcPr>
          <w:p w:rsidR="009A161C" w:rsidRPr="009A161C" w:rsidRDefault="009A161C" w:rsidP="00715232">
            <w:r w:rsidRPr="009A161C">
              <w:t>800</w:t>
            </w:r>
          </w:p>
        </w:tc>
      </w:tr>
      <w:tr w:rsidR="009A161C" w:rsidRPr="009A161C" w:rsidTr="00715232">
        <w:trPr>
          <w:trHeight w:val="225"/>
        </w:trPr>
        <w:tc>
          <w:tcPr>
            <w:tcW w:w="1730" w:type="dxa"/>
            <w:noWrap/>
            <w:hideMark/>
          </w:tcPr>
          <w:p w:rsidR="009A161C" w:rsidRPr="009A161C" w:rsidRDefault="009A161C">
            <w:proofErr w:type="spellStart"/>
            <w:r w:rsidRPr="009A161C">
              <w:t>Jhb</w:t>
            </w:r>
            <w:proofErr w:type="spellEnd"/>
            <w:r w:rsidRPr="009A161C">
              <w:t xml:space="preserve"> - East</w:t>
            </w:r>
          </w:p>
        </w:tc>
        <w:tc>
          <w:tcPr>
            <w:tcW w:w="1464" w:type="dxa"/>
          </w:tcPr>
          <w:p w:rsidR="009A161C" w:rsidRPr="009A161C" w:rsidRDefault="009A161C" w:rsidP="00715232">
            <w:r w:rsidRPr="009A161C">
              <w:t>400</w:t>
            </w:r>
          </w:p>
        </w:tc>
        <w:tc>
          <w:tcPr>
            <w:tcW w:w="1352" w:type="dxa"/>
          </w:tcPr>
          <w:p w:rsidR="009A161C" w:rsidRPr="009A161C" w:rsidRDefault="009A161C" w:rsidP="00715232">
            <w:r w:rsidRPr="009A161C">
              <w:t>450</w:t>
            </w:r>
          </w:p>
        </w:tc>
        <w:tc>
          <w:tcPr>
            <w:tcW w:w="1705" w:type="dxa"/>
            <w:noWrap/>
            <w:hideMark/>
          </w:tcPr>
          <w:p w:rsidR="009A161C" w:rsidRPr="009A161C" w:rsidRDefault="009A161C" w:rsidP="009A161C">
            <w:r w:rsidRPr="009A161C">
              <w:t>495</w:t>
            </w:r>
          </w:p>
        </w:tc>
        <w:tc>
          <w:tcPr>
            <w:tcW w:w="1458" w:type="dxa"/>
          </w:tcPr>
          <w:p w:rsidR="009A161C" w:rsidRPr="009A161C" w:rsidRDefault="009A161C" w:rsidP="00715232">
            <w:r w:rsidRPr="009A161C">
              <w:t>550</w:t>
            </w:r>
          </w:p>
        </w:tc>
      </w:tr>
      <w:tr w:rsidR="009A161C" w:rsidRPr="009A161C" w:rsidTr="00715232">
        <w:trPr>
          <w:trHeight w:val="225"/>
        </w:trPr>
        <w:tc>
          <w:tcPr>
            <w:tcW w:w="1730" w:type="dxa"/>
            <w:noWrap/>
            <w:hideMark/>
          </w:tcPr>
          <w:p w:rsidR="009A161C" w:rsidRPr="009A161C" w:rsidRDefault="009A161C">
            <w:proofErr w:type="spellStart"/>
            <w:r w:rsidRPr="009A161C">
              <w:t>Jhb</w:t>
            </w:r>
            <w:proofErr w:type="spellEnd"/>
            <w:r w:rsidRPr="009A161C">
              <w:t xml:space="preserve"> - </w:t>
            </w:r>
            <w:proofErr w:type="spellStart"/>
            <w:r w:rsidRPr="009A161C">
              <w:t>Sandton</w:t>
            </w:r>
            <w:proofErr w:type="spellEnd"/>
          </w:p>
        </w:tc>
        <w:tc>
          <w:tcPr>
            <w:tcW w:w="1464" w:type="dxa"/>
          </w:tcPr>
          <w:p w:rsidR="009A161C" w:rsidRPr="009A161C" w:rsidRDefault="009A161C" w:rsidP="00715232">
            <w:r w:rsidRPr="009A161C">
              <w:t>450</w:t>
            </w:r>
          </w:p>
        </w:tc>
        <w:tc>
          <w:tcPr>
            <w:tcW w:w="1352" w:type="dxa"/>
          </w:tcPr>
          <w:p w:rsidR="009A161C" w:rsidRPr="009A161C" w:rsidRDefault="009A161C" w:rsidP="00715232">
            <w:r w:rsidRPr="009A161C">
              <w:t>500</w:t>
            </w:r>
          </w:p>
        </w:tc>
        <w:tc>
          <w:tcPr>
            <w:tcW w:w="1705" w:type="dxa"/>
            <w:noWrap/>
            <w:hideMark/>
          </w:tcPr>
          <w:p w:rsidR="009A161C" w:rsidRPr="009A161C" w:rsidRDefault="009A161C" w:rsidP="009A161C">
            <w:r w:rsidRPr="009A161C">
              <w:t>550</w:t>
            </w:r>
          </w:p>
        </w:tc>
        <w:tc>
          <w:tcPr>
            <w:tcW w:w="1458" w:type="dxa"/>
          </w:tcPr>
          <w:p w:rsidR="009A161C" w:rsidRPr="009A161C" w:rsidRDefault="009A161C" w:rsidP="00715232">
            <w:r w:rsidRPr="009A161C">
              <w:t>900</w:t>
            </w:r>
          </w:p>
        </w:tc>
      </w:tr>
      <w:tr w:rsidR="009A161C" w:rsidRPr="009A161C" w:rsidTr="00715232">
        <w:trPr>
          <w:trHeight w:val="225"/>
        </w:trPr>
        <w:tc>
          <w:tcPr>
            <w:tcW w:w="1730" w:type="dxa"/>
            <w:noWrap/>
            <w:hideMark/>
          </w:tcPr>
          <w:p w:rsidR="009A161C" w:rsidRPr="009A161C" w:rsidRDefault="009A161C">
            <w:proofErr w:type="spellStart"/>
            <w:r w:rsidRPr="009A161C">
              <w:t>Jhb</w:t>
            </w:r>
            <w:proofErr w:type="spellEnd"/>
            <w:r w:rsidRPr="009A161C">
              <w:t xml:space="preserve"> - South</w:t>
            </w:r>
          </w:p>
        </w:tc>
        <w:tc>
          <w:tcPr>
            <w:tcW w:w="1464" w:type="dxa"/>
          </w:tcPr>
          <w:p w:rsidR="009A161C" w:rsidRPr="009A161C" w:rsidRDefault="009A161C" w:rsidP="00715232">
            <w:r w:rsidRPr="009A161C">
              <w:t>425</w:t>
            </w:r>
          </w:p>
        </w:tc>
        <w:tc>
          <w:tcPr>
            <w:tcW w:w="1352" w:type="dxa"/>
          </w:tcPr>
          <w:p w:rsidR="009A161C" w:rsidRPr="009A161C" w:rsidRDefault="009A161C" w:rsidP="00715232">
            <w:r w:rsidRPr="009A161C">
              <w:t>500</w:t>
            </w:r>
          </w:p>
        </w:tc>
        <w:tc>
          <w:tcPr>
            <w:tcW w:w="1705" w:type="dxa"/>
            <w:noWrap/>
            <w:hideMark/>
          </w:tcPr>
          <w:p w:rsidR="009A161C" w:rsidRPr="009A161C" w:rsidRDefault="009A161C" w:rsidP="009A161C">
            <w:r w:rsidRPr="009A161C">
              <w:t>525</w:t>
            </w:r>
          </w:p>
        </w:tc>
        <w:tc>
          <w:tcPr>
            <w:tcW w:w="1458" w:type="dxa"/>
          </w:tcPr>
          <w:p w:rsidR="009A161C" w:rsidRPr="009A161C" w:rsidRDefault="009A161C" w:rsidP="00715232">
            <w:r w:rsidRPr="009A161C">
              <w:t>750</w:t>
            </w:r>
          </w:p>
        </w:tc>
      </w:tr>
      <w:tr w:rsidR="009A161C" w:rsidRPr="009A161C" w:rsidTr="00715232">
        <w:trPr>
          <w:trHeight w:val="225"/>
        </w:trPr>
        <w:tc>
          <w:tcPr>
            <w:tcW w:w="1730" w:type="dxa"/>
            <w:noWrap/>
            <w:hideMark/>
          </w:tcPr>
          <w:p w:rsidR="009A161C" w:rsidRPr="009A161C" w:rsidRDefault="009A161C">
            <w:proofErr w:type="spellStart"/>
            <w:r w:rsidRPr="009A161C">
              <w:t>Jhb</w:t>
            </w:r>
            <w:proofErr w:type="spellEnd"/>
            <w:r w:rsidRPr="009A161C">
              <w:t xml:space="preserve"> - West</w:t>
            </w:r>
          </w:p>
        </w:tc>
        <w:tc>
          <w:tcPr>
            <w:tcW w:w="1464" w:type="dxa"/>
          </w:tcPr>
          <w:p w:rsidR="009A161C" w:rsidRPr="009A161C" w:rsidRDefault="009A161C" w:rsidP="00715232">
            <w:r w:rsidRPr="009A161C">
              <w:t>350</w:t>
            </w:r>
          </w:p>
        </w:tc>
        <w:tc>
          <w:tcPr>
            <w:tcW w:w="1352" w:type="dxa"/>
          </w:tcPr>
          <w:p w:rsidR="009A161C" w:rsidRPr="009A161C" w:rsidRDefault="009A161C" w:rsidP="00715232">
            <w:r w:rsidRPr="009A161C">
              <w:t>475</w:t>
            </w:r>
          </w:p>
        </w:tc>
        <w:tc>
          <w:tcPr>
            <w:tcW w:w="1705" w:type="dxa"/>
            <w:noWrap/>
            <w:hideMark/>
          </w:tcPr>
          <w:p w:rsidR="009A161C" w:rsidRPr="009A161C" w:rsidRDefault="009A161C" w:rsidP="009A161C">
            <w:r w:rsidRPr="009A161C">
              <w:t>550</w:t>
            </w:r>
          </w:p>
        </w:tc>
        <w:tc>
          <w:tcPr>
            <w:tcW w:w="1458" w:type="dxa"/>
          </w:tcPr>
          <w:p w:rsidR="009A161C" w:rsidRPr="009A161C" w:rsidRDefault="009A161C" w:rsidP="00715232">
            <w:r w:rsidRPr="009A161C">
              <w:t>750</w:t>
            </w:r>
          </w:p>
        </w:tc>
      </w:tr>
      <w:tr w:rsidR="009A161C" w:rsidRPr="009A161C" w:rsidTr="00715232">
        <w:trPr>
          <w:trHeight w:val="225"/>
        </w:trPr>
        <w:tc>
          <w:tcPr>
            <w:tcW w:w="1730" w:type="dxa"/>
            <w:noWrap/>
            <w:hideMark/>
          </w:tcPr>
          <w:p w:rsidR="009A161C" w:rsidRPr="009A161C" w:rsidRDefault="009A161C">
            <w:proofErr w:type="spellStart"/>
            <w:r w:rsidRPr="009A161C">
              <w:t>Neslspruit</w:t>
            </w:r>
            <w:proofErr w:type="spellEnd"/>
          </w:p>
        </w:tc>
        <w:tc>
          <w:tcPr>
            <w:tcW w:w="1464" w:type="dxa"/>
          </w:tcPr>
          <w:p w:rsidR="009A161C" w:rsidRPr="009A161C" w:rsidRDefault="009A161C" w:rsidP="00715232">
            <w:r w:rsidRPr="009A161C">
              <w:t>350</w:t>
            </w:r>
          </w:p>
        </w:tc>
        <w:tc>
          <w:tcPr>
            <w:tcW w:w="1352" w:type="dxa"/>
          </w:tcPr>
          <w:p w:rsidR="009A161C" w:rsidRPr="009A161C" w:rsidRDefault="009A161C" w:rsidP="00715232">
            <w:r w:rsidRPr="009A161C">
              <w:t>450</w:t>
            </w:r>
          </w:p>
        </w:tc>
        <w:tc>
          <w:tcPr>
            <w:tcW w:w="1705" w:type="dxa"/>
            <w:noWrap/>
            <w:hideMark/>
          </w:tcPr>
          <w:p w:rsidR="009A161C" w:rsidRPr="009A161C" w:rsidRDefault="009A161C" w:rsidP="009A161C">
            <w:r w:rsidRPr="009A161C">
              <w:t>500</w:t>
            </w:r>
          </w:p>
        </w:tc>
        <w:tc>
          <w:tcPr>
            <w:tcW w:w="1458" w:type="dxa"/>
          </w:tcPr>
          <w:p w:rsidR="009A161C" w:rsidRPr="009A161C" w:rsidRDefault="009A161C" w:rsidP="00715232">
            <w:r w:rsidRPr="009A161C">
              <w:t>850</w:t>
            </w:r>
          </w:p>
        </w:tc>
      </w:tr>
      <w:tr w:rsidR="009A161C" w:rsidRPr="009A161C" w:rsidTr="00715232">
        <w:trPr>
          <w:trHeight w:val="225"/>
        </w:trPr>
        <w:tc>
          <w:tcPr>
            <w:tcW w:w="1730" w:type="dxa"/>
            <w:noWrap/>
            <w:hideMark/>
          </w:tcPr>
          <w:p w:rsidR="009A161C" w:rsidRPr="009A161C" w:rsidRDefault="009A161C">
            <w:r w:rsidRPr="009A161C">
              <w:t>PE/EL</w:t>
            </w:r>
          </w:p>
        </w:tc>
        <w:tc>
          <w:tcPr>
            <w:tcW w:w="1464" w:type="dxa"/>
          </w:tcPr>
          <w:p w:rsidR="009A161C" w:rsidRPr="009A161C" w:rsidRDefault="009A161C" w:rsidP="00715232">
            <w:r w:rsidRPr="009A161C">
              <w:t>288</w:t>
            </w:r>
          </w:p>
        </w:tc>
        <w:tc>
          <w:tcPr>
            <w:tcW w:w="1352" w:type="dxa"/>
          </w:tcPr>
          <w:p w:rsidR="009A161C" w:rsidRPr="009A161C" w:rsidRDefault="009A161C" w:rsidP="00715232">
            <w:r w:rsidRPr="009A161C">
              <w:t>400</w:t>
            </w:r>
          </w:p>
        </w:tc>
        <w:tc>
          <w:tcPr>
            <w:tcW w:w="1705" w:type="dxa"/>
            <w:noWrap/>
            <w:hideMark/>
          </w:tcPr>
          <w:p w:rsidR="009A161C" w:rsidRPr="009A161C" w:rsidRDefault="009A161C" w:rsidP="009A161C">
            <w:r w:rsidRPr="009A161C">
              <w:t>470</w:t>
            </w:r>
          </w:p>
        </w:tc>
        <w:tc>
          <w:tcPr>
            <w:tcW w:w="1458" w:type="dxa"/>
          </w:tcPr>
          <w:p w:rsidR="009A161C" w:rsidRPr="009A161C" w:rsidRDefault="009A161C" w:rsidP="00715232">
            <w:r w:rsidRPr="009A161C">
              <w:t>670</w:t>
            </w:r>
          </w:p>
        </w:tc>
      </w:tr>
      <w:tr w:rsidR="009A161C" w:rsidRPr="009A161C" w:rsidTr="00715232">
        <w:trPr>
          <w:trHeight w:val="225"/>
        </w:trPr>
        <w:tc>
          <w:tcPr>
            <w:tcW w:w="1730" w:type="dxa"/>
            <w:noWrap/>
            <w:hideMark/>
          </w:tcPr>
          <w:p w:rsidR="009A161C" w:rsidRPr="009A161C" w:rsidRDefault="009A161C">
            <w:r w:rsidRPr="009A161C">
              <w:t>Pietermaritzburg</w:t>
            </w:r>
          </w:p>
        </w:tc>
        <w:tc>
          <w:tcPr>
            <w:tcW w:w="1464" w:type="dxa"/>
          </w:tcPr>
          <w:p w:rsidR="009A161C" w:rsidRPr="009A161C" w:rsidRDefault="009A161C" w:rsidP="00715232">
            <w:r w:rsidRPr="009A161C">
              <w:t>350</w:t>
            </w:r>
          </w:p>
        </w:tc>
        <w:tc>
          <w:tcPr>
            <w:tcW w:w="1352" w:type="dxa"/>
          </w:tcPr>
          <w:p w:rsidR="009A161C" w:rsidRPr="009A161C" w:rsidRDefault="009A161C" w:rsidP="00715232">
            <w:r w:rsidRPr="009A161C">
              <w:t>350</w:t>
            </w:r>
          </w:p>
        </w:tc>
        <w:tc>
          <w:tcPr>
            <w:tcW w:w="1705" w:type="dxa"/>
            <w:noWrap/>
            <w:hideMark/>
          </w:tcPr>
          <w:p w:rsidR="009A161C" w:rsidRPr="009A161C" w:rsidRDefault="009A161C" w:rsidP="009A161C">
            <w:r w:rsidRPr="009A161C">
              <w:t>400</w:t>
            </w:r>
          </w:p>
        </w:tc>
        <w:tc>
          <w:tcPr>
            <w:tcW w:w="1458" w:type="dxa"/>
          </w:tcPr>
          <w:p w:rsidR="009A161C" w:rsidRPr="009A161C" w:rsidRDefault="009A161C" w:rsidP="00715232">
            <w:r w:rsidRPr="009A161C">
              <w:t>500</w:t>
            </w:r>
          </w:p>
        </w:tc>
      </w:tr>
      <w:tr w:rsidR="009A161C" w:rsidRPr="009A161C" w:rsidTr="00715232">
        <w:trPr>
          <w:trHeight w:val="225"/>
        </w:trPr>
        <w:tc>
          <w:tcPr>
            <w:tcW w:w="1730" w:type="dxa"/>
            <w:noWrap/>
            <w:hideMark/>
          </w:tcPr>
          <w:p w:rsidR="009A161C" w:rsidRPr="009A161C" w:rsidRDefault="009A161C">
            <w:proofErr w:type="spellStart"/>
            <w:r w:rsidRPr="009A161C">
              <w:t>Polokwane</w:t>
            </w:r>
            <w:proofErr w:type="spellEnd"/>
          </w:p>
        </w:tc>
        <w:tc>
          <w:tcPr>
            <w:tcW w:w="1464" w:type="dxa"/>
          </w:tcPr>
          <w:p w:rsidR="009A161C" w:rsidRPr="009A161C" w:rsidRDefault="009A161C" w:rsidP="00715232">
            <w:r w:rsidRPr="009A161C">
              <w:t>450</w:t>
            </w:r>
          </w:p>
        </w:tc>
        <w:tc>
          <w:tcPr>
            <w:tcW w:w="1352" w:type="dxa"/>
          </w:tcPr>
          <w:p w:rsidR="009A161C" w:rsidRPr="009A161C" w:rsidRDefault="009A161C" w:rsidP="00715232">
            <w:r w:rsidRPr="009A161C">
              <w:t>475</w:t>
            </w:r>
          </w:p>
        </w:tc>
        <w:tc>
          <w:tcPr>
            <w:tcW w:w="1705" w:type="dxa"/>
            <w:noWrap/>
            <w:hideMark/>
          </w:tcPr>
          <w:p w:rsidR="009A161C" w:rsidRPr="009A161C" w:rsidRDefault="009A161C" w:rsidP="009A161C">
            <w:r w:rsidRPr="009A161C">
              <w:t>575</w:t>
            </w:r>
          </w:p>
        </w:tc>
        <w:tc>
          <w:tcPr>
            <w:tcW w:w="1458" w:type="dxa"/>
          </w:tcPr>
          <w:p w:rsidR="009A161C" w:rsidRPr="009A161C" w:rsidRDefault="009A161C" w:rsidP="00715232">
            <w:r w:rsidRPr="009A161C">
              <w:t>650</w:t>
            </w:r>
          </w:p>
        </w:tc>
      </w:tr>
      <w:tr w:rsidR="009A161C" w:rsidRPr="009A161C" w:rsidTr="00715232">
        <w:trPr>
          <w:trHeight w:val="225"/>
        </w:trPr>
        <w:tc>
          <w:tcPr>
            <w:tcW w:w="1730" w:type="dxa"/>
            <w:noWrap/>
            <w:hideMark/>
          </w:tcPr>
          <w:p w:rsidR="009A161C" w:rsidRPr="009A161C" w:rsidRDefault="009A161C">
            <w:r w:rsidRPr="009A161C">
              <w:t>Potchefstroom</w:t>
            </w:r>
          </w:p>
        </w:tc>
        <w:tc>
          <w:tcPr>
            <w:tcW w:w="1464" w:type="dxa"/>
          </w:tcPr>
          <w:p w:rsidR="009A161C" w:rsidRPr="009A161C" w:rsidRDefault="009A161C" w:rsidP="00715232">
            <w:r w:rsidRPr="009A161C">
              <w:t>350</w:t>
            </w:r>
          </w:p>
        </w:tc>
        <w:tc>
          <w:tcPr>
            <w:tcW w:w="1352" w:type="dxa"/>
          </w:tcPr>
          <w:p w:rsidR="009A161C" w:rsidRPr="009A161C" w:rsidRDefault="009A161C" w:rsidP="00715232">
            <w:r w:rsidRPr="009A161C">
              <w:t>485</w:t>
            </w:r>
          </w:p>
        </w:tc>
        <w:tc>
          <w:tcPr>
            <w:tcW w:w="1705" w:type="dxa"/>
            <w:noWrap/>
            <w:hideMark/>
          </w:tcPr>
          <w:p w:rsidR="009A161C" w:rsidRPr="009A161C" w:rsidRDefault="009A161C" w:rsidP="009A161C">
            <w:r w:rsidRPr="009A161C">
              <w:t>500</w:t>
            </w:r>
          </w:p>
        </w:tc>
        <w:tc>
          <w:tcPr>
            <w:tcW w:w="1458" w:type="dxa"/>
          </w:tcPr>
          <w:p w:rsidR="009A161C" w:rsidRPr="009A161C" w:rsidRDefault="009A161C" w:rsidP="00715232">
            <w:r w:rsidRPr="009A161C">
              <w:t>550</w:t>
            </w:r>
          </w:p>
        </w:tc>
      </w:tr>
      <w:tr w:rsidR="009A161C" w:rsidRPr="009A161C" w:rsidTr="00715232">
        <w:trPr>
          <w:trHeight w:val="225"/>
        </w:trPr>
        <w:tc>
          <w:tcPr>
            <w:tcW w:w="1730" w:type="dxa"/>
            <w:noWrap/>
            <w:hideMark/>
          </w:tcPr>
          <w:p w:rsidR="009A161C" w:rsidRPr="009A161C" w:rsidRDefault="009A161C">
            <w:r w:rsidRPr="009A161C">
              <w:t>Pretoria</w:t>
            </w:r>
          </w:p>
        </w:tc>
        <w:tc>
          <w:tcPr>
            <w:tcW w:w="1464" w:type="dxa"/>
          </w:tcPr>
          <w:p w:rsidR="009A161C" w:rsidRPr="009A161C" w:rsidRDefault="009A161C" w:rsidP="00715232">
            <w:r w:rsidRPr="009A161C">
              <w:t>400</w:t>
            </w:r>
          </w:p>
        </w:tc>
        <w:tc>
          <w:tcPr>
            <w:tcW w:w="1352" w:type="dxa"/>
          </w:tcPr>
          <w:p w:rsidR="009A161C" w:rsidRPr="009A161C" w:rsidRDefault="009A161C" w:rsidP="00715232">
            <w:r w:rsidRPr="009A161C">
              <w:t>500</w:t>
            </w:r>
          </w:p>
        </w:tc>
        <w:tc>
          <w:tcPr>
            <w:tcW w:w="1705" w:type="dxa"/>
            <w:noWrap/>
            <w:hideMark/>
          </w:tcPr>
          <w:p w:rsidR="009A161C" w:rsidRPr="009A161C" w:rsidRDefault="009A161C" w:rsidP="009A161C">
            <w:r w:rsidRPr="009A161C">
              <w:t>638</w:t>
            </w:r>
          </w:p>
        </w:tc>
        <w:tc>
          <w:tcPr>
            <w:tcW w:w="1458" w:type="dxa"/>
          </w:tcPr>
          <w:p w:rsidR="009A161C" w:rsidRPr="009A161C" w:rsidRDefault="009A161C" w:rsidP="00715232">
            <w:r w:rsidRPr="009A161C">
              <w:t>1000</w:t>
            </w:r>
          </w:p>
        </w:tc>
      </w:tr>
    </w:tbl>
    <w:p w:rsidR="009A161C" w:rsidRDefault="009A161C"/>
    <w:p w:rsidR="00FB1EE7" w:rsidRDefault="00FB1EE7"/>
    <w:p w:rsidR="00FB1EE7" w:rsidRDefault="00FB1EE7">
      <w:r w:rsidRPr="00FB1EE7">
        <w:drawing>
          <wp:inline distT="0" distB="0" distL="0" distR="0">
            <wp:extent cx="5572125" cy="2962275"/>
            <wp:effectExtent l="19050" t="0" r="9525" b="0"/>
            <wp:docPr id="3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1EE7" w:rsidRDefault="00FB1EE7"/>
    <w:tbl>
      <w:tblPr>
        <w:tblStyle w:val="TableGrid"/>
        <w:tblW w:w="7709" w:type="dxa"/>
        <w:tblInd w:w="665" w:type="dxa"/>
        <w:tblLook w:val="04A0"/>
      </w:tblPr>
      <w:tblGrid>
        <w:gridCol w:w="1730"/>
        <w:gridCol w:w="1464"/>
        <w:gridCol w:w="1352"/>
        <w:gridCol w:w="1705"/>
        <w:gridCol w:w="1458"/>
      </w:tblGrid>
      <w:tr w:rsidR="00AA4D73" w:rsidRPr="009A161C" w:rsidTr="00B91E56">
        <w:trPr>
          <w:trHeight w:val="225"/>
        </w:trPr>
        <w:tc>
          <w:tcPr>
            <w:tcW w:w="7709" w:type="dxa"/>
            <w:gridSpan w:val="5"/>
            <w:noWrap/>
            <w:hideMark/>
          </w:tcPr>
          <w:p w:rsidR="00AA4D73" w:rsidRPr="009A161C" w:rsidRDefault="00AA4D73" w:rsidP="00AA4D73">
            <w:pPr>
              <w:jc w:val="center"/>
              <w:rPr>
                <w:b/>
                <w:bCs/>
              </w:rPr>
            </w:pPr>
            <w:r>
              <w:rPr>
                <w:b/>
                <w:bCs/>
              </w:rPr>
              <w:t xml:space="preserve">Postage and </w:t>
            </w:r>
            <w:proofErr w:type="spellStart"/>
            <w:r>
              <w:rPr>
                <w:b/>
                <w:bCs/>
              </w:rPr>
              <w:t>Petties</w:t>
            </w:r>
            <w:proofErr w:type="spellEnd"/>
            <w:r>
              <w:rPr>
                <w:b/>
                <w:bCs/>
              </w:rPr>
              <w:t xml:space="preserve"> Recovery - Bonds</w:t>
            </w:r>
          </w:p>
        </w:tc>
      </w:tr>
      <w:tr w:rsidR="00AA4D73" w:rsidRPr="009A161C" w:rsidTr="00B91E56">
        <w:trPr>
          <w:trHeight w:val="225"/>
        </w:trPr>
        <w:tc>
          <w:tcPr>
            <w:tcW w:w="1730" w:type="dxa"/>
            <w:noWrap/>
            <w:hideMark/>
          </w:tcPr>
          <w:p w:rsidR="00AA4D73" w:rsidRPr="009A161C" w:rsidRDefault="00AA4D73" w:rsidP="00B91E56">
            <w:pPr>
              <w:rPr>
                <w:b/>
                <w:bCs/>
              </w:rPr>
            </w:pPr>
          </w:p>
        </w:tc>
        <w:tc>
          <w:tcPr>
            <w:tcW w:w="1464" w:type="dxa"/>
          </w:tcPr>
          <w:p w:rsidR="00AA4D73" w:rsidRPr="009A161C" w:rsidRDefault="00AA4D73" w:rsidP="00B91E56">
            <w:pPr>
              <w:rPr>
                <w:b/>
                <w:bCs/>
              </w:rPr>
            </w:pPr>
            <w:r w:rsidRPr="009A161C">
              <w:rPr>
                <w:b/>
                <w:bCs/>
              </w:rPr>
              <w:t>Lower 1/4</w:t>
            </w:r>
          </w:p>
        </w:tc>
        <w:tc>
          <w:tcPr>
            <w:tcW w:w="1352" w:type="dxa"/>
          </w:tcPr>
          <w:p w:rsidR="00AA4D73" w:rsidRPr="009A161C" w:rsidRDefault="00AA4D73" w:rsidP="00B91E56">
            <w:pPr>
              <w:rPr>
                <w:b/>
                <w:bCs/>
              </w:rPr>
            </w:pPr>
            <w:r w:rsidRPr="009A161C">
              <w:rPr>
                <w:b/>
                <w:bCs/>
              </w:rPr>
              <w:t>Median</w:t>
            </w:r>
          </w:p>
        </w:tc>
        <w:tc>
          <w:tcPr>
            <w:tcW w:w="1705" w:type="dxa"/>
            <w:noWrap/>
            <w:hideMark/>
          </w:tcPr>
          <w:p w:rsidR="00AA4D73" w:rsidRPr="009A161C" w:rsidRDefault="00AA4D73" w:rsidP="00B91E56">
            <w:pPr>
              <w:rPr>
                <w:b/>
                <w:bCs/>
              </w:rPr>
            </w:pPr>
            <w:r w:rsidRPr="009A161C">
              <w:rPr>
                <w:b/>
                <w:bCs/>
              </w:rPr>
              <w:t>Three quarter</w:t>
            </w:r>
          </w:p>
        </w:tc>
        <w:tc>
          <w:tcPr>
            <w:tcW w:w="1458" w:type="dxa"/>
          </w:tcPr>
          <w:p w:rsidR="00AA4D73" w:rsidRPr="009A161C" w:rsidRDefault="00AA4D73" w:rsidP="00B91E56">
            <w:pPr>
              <w:rPr>
                <w:b/>
                <w:bCs/>
              </w:rPr>
            </w:pPr>
            <w:r w:rsidRPr="009A161C">
              <w:rPr>
                <w:b/>
                <w:bCs/>
              </w:rPr>
              <w:t>High</w:t>
            </w:r>
          </w:p>
        </w:tc>
      </w:tr>
      <w:tr w:rsidR="00AA4D73" w:rsidRPr="009A161C" w:rsidTr="00B91E56">
        <w:trPr>
          <w:trHeight w:val="225"/>
        </w:trPr>
        <w:tc>
          <w:tcPr>
            <w:tcW w:w="1730" w:type="dxa"/>
            <w:noWrap/>
            <w:hideMark/>
          </w:tcPr>
          <w:p w:rsidR="00AA4D73" w:rsidRPr="009A161C" w:rsidRDefault="00AA4D73" w:rsidP="00B91E56">
            <w:r w:rsidRPr="009A161C">
              <w:t>National Average</w:t>
            </w:r>
          </w:p>
        </w:tc>
        <w:tc>
          <w:tcPr>
            <w:tcW w:w="1464" w:type="dxa"/>
            <w:vAlign w:val="bottom"/>
          </w:tcPr>
          <w:p w:rsidR="00AA4D73" w:rsidRPr="00AA4D73" w:rsidRDefault="00AA4D73">
            <w:pPr>
              <w:jc w:val="right"/>
            </w:pPr>
            <w:r w:rsidRPr="00AA4D73">
              <w:t>350</w:t>
            </w:r>
          </w:p>
        </w:tc>
        <w:tc>
          <w:tcPr>
            <w:tcW w:w="1352" w:type="dxa"/>
            <w:vAlign w:val="bottom"/>
          </w:tcPr>
          <w:p w:rsidR="00AA4D73" w:rsidRPr="00AA4D73" w:rsidRDefault="00AA4D73">
            <w:pPr>
              <w:jc w:val="right"/>
            </w:pPr>
            <w:r w:rsidRPr="00AA4D73">
              <w:t>400</w:t>
            </w:r>
          </w:p>
        </w:tc>
        <w:tc>
          <w:tcPr>
            <w:tcW w:w="1705" w:type="dxa"/>
            <w:noWrap/>
            <w:vAlign w:val="bottom"/>
            <w:hideMark/>
          </w:tcPr>
          <w:p w:rsidR="00AA4D73" w:rsidRPr="00AA4D73" w:rsidRDefault="00AA4D73">
            <w:pPr>
              <w:jc w:val="right"/>
            </w:pPr>
            <w:r w:rsidRPr="00AA4D73">
              <w:t>500</w:t>
            </w:r>
          </w:p>
        </w:tc>
        <w:tc>
          <w:tcPr>
            <w:tcW w:w="1458" w:type="dxa"/>
            <w:vAlign w:val="bottom"/>
          </w:tcPr>
          <w:p w:rsidR="00AA4D73" w:rsidRPr="00AA4D73" w:rsidRDefault="00AA4D73">
            <w:pPr>
              <w:jc w:val="right"/>
            </w:pPr>
            <w:r w:rsidRPr="00AA4D73">
              <w:t>1000</w:t>
            </w:r>
          </w:p>
        </w:tc>
      </w:tr>
      <w:tr w:rsidR="00AA4D73" w:rsidRPr="009A161C" w:rsidTr="00B91E56">
        <w:trPr>
          <w:trHeight w:val="225"/>
        </w:trPr>
        <w:tc>
          <w:tcPr>
            <w:tcW w:w="1730" w:type="dxa"/>
            <w:noWrap/>
            <w:hideMark/>
          </w:tcPr>
          <w:p w:rsidR="00AA4D73" w:rsidRPr="009A161C" w:rsidRDefault="00AA4D73" w:rsidP="00B91E56">
            <w:r w:rsidRPr="009A161C">
              <w:t>Bloemfontein</w:t>
            </w:r>
          </w:p>
        </w:tc>
        <w:tc>
          <w:tcPr>
            <w:tcW w:w="1464" w:type="dxa"/>
            <w:vAlign w:val="bottom"/>
          </w:tcPr>
          <w:p w:rsidR="00AA4D73" w:rsidRPr="00AA4D73" w:rsidRDefault="00AA4D73">
            <w:pPr>
              <w:jc w:val="right"/>
            </w:pPr>
            <w:r w:rsidRPr="00AA4D73">
              <w:t>300</w:t>
            </w:r>
          </w:p>
        </w:tc>
        <w:tc>
          <w:tcPr>
            <w:tcW w:w="1352" w:type="dxa"/>
            <w:vAlign w:val="bottom"/>
          </w:tcPr>
          <w:p w:rsidR="00AA4D73" w:rsidRPr="00AA4D73" w:rsidRDefault="00AA4D73">
            <w:pPr>
              <w:jc w:val="right"/>
            </w:pPr>
            <w:r w:rsidRPr="00AA4D73">
              <w:t>350</w:t>
            </w:r>
          </w:p>
        </w:tc>
        <w:tc>
          <w:tcPr>
            <w:tcW w:w="1705" w:type="dxa"/>
            <w:noWrap/>
            <w:vAlign w:val="bottom"/>
            <w:hideMark/>
          </w:tcPr>
          <w:p w:rsidR="00AA4D73" w:rsidRPr="00AA4D73" w:rsidRDefault="00AA4D73">
            <w:pPr>
              <w:jc w:val="right"/>
            </w:pPr>
            <w:r w:rsidRPr="00AA4D73">
              <w:t>500</w:t>
            </w:r>
          </w:p>
        </w:tc>
        <w:tc>
          <w:tcPr>
            <w:tcW w:w="1458" w:type="dxa"/>
            <w:vAlign w:val="bottom"/>
          </w:tcPr>
          <w:p w:rsidR="00AA4D73" w:rsidRPr="00AA4D73" w:rsidRDefault="00AA4D73">
            <w:pPr>
              <w:jc w:val="right"/>
            </w:pPr>
            <w:r w:rsidRPr="00AA4D73">
              <w:t>800</w:t>
            </w:r>
          </w:p>
        </w:tc>
      </w:tr>
      <w:tr w:rsidR="00AA4D73" w:rsidRPr="009A161C" w:rsidTr="00B91E56">
        <w:trPr>
          <w:trHeight w:val="225"/>
        </w:trPr>
        <w:tc>
          <w:tcPr>
            <w:tcW w:w="1730" w:type="dxa"/>
            <w:noWrap/>
            <w:hideMark/>
          </w:tcPr>
          <w:p w:rsidR="00AA4D73" w:rsidRPr="009A161C" w:rsidRDefault="00AA4D73" w:rsidP="00B91E56">
            <w:r w:rsidRPr="009A161C">
              <w:t>Cape Town</w:t>
            </w:r>
          </w:p>
        </w:tc>
        <w:tc>
          <w:tcPr>
            <w:tcW w:w="1464" w:type="dxa"/>
            <w:vAlign w:val="bottom"/>
          </w:tcPr>
          <w:p w:rsidR="00AA4D73" w:rsidRPr="00AA4D73" w:rsidRDefault="00AA4D73">
            <w:pPr>
              <w:jc w:val="right"/>
            </w:pPr>
            <w:r w:rsidRPr="00AA4D73">
              <w:t>350</w:t>
            </w:r>
          </w:p>
        </w:tc>
        <w:tc>
          <w:tcPr>
            <w:tcW w:w="1352" w:type="dxa"/>
            <w:vAlign w:val="bottom"/>
          </w:tcPr>
          <w:p w:rsidR="00AA4D73" w:rsidRPr="00AA4D73" w:rsidRDefault="00AA4D73">
            <w:pPr>
              <w:jc w:val="right"/>
            </w:pPr>
            <w:r w:rsidRPr="00AA4D73">
              <w:t>400</w:t>
            </w:r>
          </w:p>
        </w:tc>
        <w:tc>
          <w:tcPr>
            <w:tcW w:w="1705" w:type="dxa"/>
            <w:noWrap/>
            <w:vAlign w:val="bottom"/>
            <w:hideMark/>
          </w:tcPr>
          <w:p w:rsidR="00AA4D73" w:rsidRPr="00AA4D73" w:rsidRDefault="00AA4D73">
            <w:pPr>
              <w:jc w:val="right"/>
            </w:pPr>
            <w:r w:rsidRPr="00AA4D73">
              <w:t>450</w:t>
            </w:r>
          </w:p>
        </w:tc>
        <w:tc>
          <w:tcPr>
            <w:tcW w:w="1458" w:type="dxa"/>
            <w:vAlign w:val="bottom"/>
          </w:tcPr>
          <w:p w:rsidR="00AA4D73" w:rsidRPr="00AA4D73" w:rsidRDefault="00AA4D73">
            <w:pPr>
              <w:jc w:val="right"/>
            </w:pPr>
            <w:r w:rsidRPr="00AA4D73">
              <w:t>950</w:t>
            </w:r>
          </w:p>
        </w:tc>
      </w:tr>
      <w:tr w:rsidR="00AA4D73" w:rsidRPr="009A161C" w:rsidTr="00B91E56">
        <w:trPr>
          <w:trHeight w:val="225"/>
        </w:trPr>
        <w:tc>
          <w:tcPr>
            <w:tcW w:w="1730" w:type="dxa"/>
            <w:noWrap/>
            <w:hideMark/>
          </w:tcPr>
          <w:p w:rsidR="00AA4D73" w:rsidRPr="009A161C" w:rsidRDefault="00AA4D73" w:rsidP="00B91E56">
            <w:r w:rsidRPr="009A161C">
              <w:t>Durban</w:t>
            </w:r>
          </w:p>
        </w:tc>
        <w:tc>
          <w:tcPr>
            <w:tcW w:w="1464" w:type="dxa"/>
            <w:vAlign w:val="bottom"/>
          </w:tcPr>
          <w:p w:rsidR="00AA4D73" w:rsidRPr="00AA4D73" w:rsidRDefault="00AA4D73">
            <w:pPr>
              <w:jc w:val="right"/>
            </w:pPr>
            <w:r w:rsidRPr="00AA4D73">
              <w:t>292</w:t>
            </w:r>
          </w:p>
        </w:tc>
        <w:tc>
          <w:tcPr>
            <w:tcW w:w="1352" w:type="dxa"/>
            <w:vAlign w:val="bottom"/>
          </w:tcPr>
          <w:p w:rsidR="00AA4D73" w:rsidRPr="00AA4D73" w:rsidRDefault="00AA4D73">
            <w:pPr>
              <w:jc w:val="right"/>
            </w:pPr>
            <w:r w:rsidRPr="00AA4D73">
              <w:t>350</w:t>
            </w:r>
          </w:p>
        </w:tc>
        <w:tc>
          <w:tcPr>
            <w:tcW w:w="1705" w:type="dxa"/>
            <w:noWrap/>
            <w:vAlign w:val="bottom"/>
            <w:hideMark/>
          </w:tcPr>
          <w:p w:rsidR="00AA4D73" w:rsidRPr="00AA4D73" w:rsidRDefault="00AA4D73">
            <w:pPr>
              <w:jc w:val="right"/>
            </w:pPr>
            <w:r w:rsidRPr="00AA4D73">
              <w:t>460</w:t>
            </w:r>
          </w:p>
        </w:tc>
        <w:tc>
          <w:tcPr>
            <w:tcW w:w="1458" w:type="dxa"/>
            <w:vAlign w:val="bottom"/>
          </w:tcPr>
          <w:p w:rsidR="00AA4D73" w:rsidRPr="00AA4D73" w:rsidRDefault="00AA4D73">
            <w:pPr>
              <w:jc w:val="right"/>
            </w:pPr>
            <w:r w:rsidRPr="00AA4D73">
              <w:t>650</w:t>
            </w:r>
          </w:p>
        </w:tc>
      </w:tr>
      <w:tr w:rsidR="00AA4D73" w:rsidRPr="009A161C" w:rsidTr="00B91E56">
        <w:trPr>
          <w:trHeight w:val="225"/>
        </w:trPr>
        <w:tc>
          <w:tcPr>
            <w:tcW w:w="1730" w:type="dxa"/>
            <w:noWrap/>
            <w:hideMark/>
          </w:tcPr>
          <w:p w:rsidR="00AA4D73" w:rsidRPr="009A161C" w:rsidRDefault="00AA4D73" w:rsidP="00B91E56">
            <w:proofErr w:type="spellStart"/>
            <w:r w:rsidRPr="009A161C">
              <w:t>Jhb</w:t>
            </w:r>
            <w:proofErr w:type="spellEnd"/>
            <w:r w:rsidRPr="009A161C">
              <w:t xml:space="preserve"> - East</w:t>
            </w:r>
          </w:p>
        </w:tc>
        <w:tc>
          <w:tcPr>
            <w:tcW w:w="1464" w:type="dxa"/>
            <w:vAlign w:val="bottom"/>
          </w:tcPr>
          <w:p w:rsidR="00AA4D73" w:rsidRPr="00AA4D73" w:rsidRDefault="00AA4D73">
            <w:pPr>
              <w:jc w:val="right"/>
            </w:pPr>
            <w:r w:rsidRPr="00AA4D73">
              <w:t>353</w:t>
            </w:r>
          </w:p>
        </w:tc>
        <w:tc>
          <w:tcPr>
            <w:tcW w:w="1352" w:type="dxa"/>
            <w:vAlign w:val="bottom"/>
          </w:tcPr>
          <w:p w:rsidR="00AA4D73" w:rsidRPr="00AA4D73" w:rsidRDefault="00AA4D73">
            <w:pPr>
              <w:jc w:val="right"/>
            </w:pPr>
            <w:r w:rsidRPr="00AA4D73">
              <w:t>450</w:t>
            </w:r>
          </w:p>
        </w:tc>
        <w:tc>
          <w:tcPr>
            <w:tcW w:w="1705" w:type="dxa"/>
            <w:noWrap/>
            <w:vAlign w:val="bottom"/>
            <w:hideMark/>
          </w:tcPr>
          <w:p w:rsidR="00AA4D73" w:rsidRPr="00AA4D73" w:rsidRDefault="00AA4D73">
            <w:pPr>
              <w:jc w:val="right"/>
            </w:pPr>
            <w:r w:rsidRPr="00AA4D73">
              <w:t>487</w:t>
            </w:r>
          </w:p>
        </w:tc>
        <w:tc>
          <w:tcPr>
            <w:tcW w:w="1458" w:type="dxa"/>
            <w:vAlign w:val="bottom"/>
          </w:tcPr>
          <w:p w:rsidR="00AA4D73" w:rsidRPr="00AA4D73" w:rsidRDefault="00AA4D73">
            <w:pPr>
              <w:jc w:val="right"/>
            </w:pPr>
            <w:r w:rsidRPr="00AA4D73">
              <w:t>500</w:t>
            </w:r>
          </w:p>
        </w:tc>
      </w:tr>
      <w:tr w:rsidR="00AA4D73" w:rsidRPr="009A161C" w:rsidTr="00B91E56">
        <w:trPr>
          <w:trHeight w:val="225"/>
        </w:trPr>
        <w:tc>
          <w:tcPr>
            <w:tcW w:w="1730" w:type="dxa"/>
            <w:noWrap/>
            <w:hideMark/>
          </w:tcPr>
          <w:p w:rsidR="00AA4D73" w:rsidRPr="009A161C" w:rsidRDefault="00AA4D73" w:rsidP="00B91E56">
            <w:proofErr w:type="spellStart"/>
            <w:r w:rsidRPr="009A161C">
              <w:t>Jhb</w:t>
            </w:r>
            <w:proofErr w:type="spellEnd"/>
            <w:r w:rsidRPr="009A161C">
              <w:t xml:space="preserve"> - </w:t>
            </w:r>
            <w:proofErr w:type="spellStart"/>
            <w:r w:rsidRPr="009A161C">
              <w:t>Sandton</w:t>
            </w:r>
            <w:proofErr w:type="spellEnd"/>
          </w:p>
        </w:tc>
        <w:tc>
          <w:tcPr>
            <w:tcW w:w="1464" w:type="dxa"/>
            <w:vAlign w:val="bottom"/>
          </w:tcPr>
          <w:p w:rsidR="00AA4D73" w:rsidRPr="00AA4D73" w:rsidRDefault="00AA4D73">
            <w:pPr>
              <w:jc w:val="right"/>
            </w:pPr>
            <w:r w:rsidRPr="00AA4D73">
              <w:t>381</w:t>
            </w:r>
          </w:p>
        </w:tc>
        <w:tc>
          <w:tcPr>
            <w:tcW w:w="1352" w:type="dxa"/>
            <w:vAlign w:val="bottom"/>
          </w:tcPr>
          <w:p w:rsidR="00AA4D73" w:rsidRPr="00AA4D73" w:rsidRDefault="00AA4D73">
            <w:pPr>
              <w:jc w:val="right"/>
            </w:pPr>
            <w:r w:rsidRPr="00AA4D73">
              <w:t>457</w:t>
            </w:r>
          </w:p>
        </w:tc>
        <w:tc>
          <w:tcPr>
            <w:tcW w:w="1705" w:type="dxa"/>
            <w:noWrap/>
            <w:vAlign w:val="bottom"/>
            <w:hideMark/>
          </w:tcPr>
          <w:p w:rsidR="00AA4D73" w:rsidRPr="00AA4D73" w:rsidRDefault="00AA4D73">
            <w:pPr>
              <w:jc w:val="right"/>
            </w:pPr>
            <w:r w:rsidRPr="00AA4D73">
              <w:t>500</w:t>
            </w:r>
          </w:p>
        </w:tc>
        <w:tc>
          <w:tcPr>
            <w:tcW w:w="1458" w:type="dxa"/>
            <w:vAlign w:val="bottom"/>
          </w:tcPr>
          <w:p w:rsidR="00AA4D73" w:rsidRPr="00AA4D73" w:rsidRDefault="00AA4D73">
            <w:pPr>
              <w:jc w:val="right"/>
            </w:pPr>
            <w:r w:rsidRPr="00AA4D73">
              <w:t>750</w:t>
            </w:r>
          </w:p>
        </w:tc>
      </w:tr>
      <w:tr w:rsidR="00AA4D73" w:rsidRPr="009A161C" w:rsidTr="00B91E56">
        <w:trPr>
          <w:trHeight w:val="225"/>
        </w:trPr>
        <w:tc>
          <w:tcPr>
            <w:tcW w:w="1730" w:type="dxa"/>
            <w:noWrap/>
            <w:hideMark/>
          </w:tcPr>
          <w:p w:rsidR="00AA4D73" w:rsidRPr="009A161C" w:rsidRDefault="00AA4D73" w:rsidP="00B91E56">
            <w:proofErr w:type="spellStart"/>
            <w:r w:rsidRPr="009A161C">
              <w:t>Jhb</w:t>
            </w:r>
            <w:proofErr w:type="spellEnd"/>
            <w:r w:rsidRPr="009A161C">
              <w:t xml:space="preserve"> - South</w:t>
            </w:r>
          </w:p>
        </w:tc>
        <w:tc>
          <w:tcPr>
            <w:tcW w:w="1464" w:type="dxa"/>
            <w:vAlign w:val="bottom"/>
          </w:tcPr>
          <w:p w:rsidR="00AA4D73" w:rsidRPr="00AA4D73" w:rsidRDefault="00AA4D73">
            <w:pPr>
              <w:jc w:val="right"/>
            </w:pPr>
            <w:r w:rsidRPr="00AA4D73">
              <w:t>400</w:t>
            </w:r>
          </w:p>
        </w:tc>
        <w:tc>
          <w:tcPr>
            <w:tcW w:w="1352" w:type="dxa"/>
            <w:vAlign w:val="bottom"/>
          </w:tcPr>
          <w:p w:rsidR="00AA4D73" w:rsidRPr="00AA4D73" w:rsidRDefault="00AA4D73">
            <w:pPr>
              <w:jc w:val="right"/>
            </w:pPr>
            <w:r w:rsidRPr="00AA4D73">
              <w:t>450</w:t>
            </w:r>
          </w:p>
        </w:tc>
        <w:tc>
          <w:tcPr>
            <w:tcW w:w="1705" w:type="dxa"/>
            <w:noWrap/>
            <w:vAlign w:val="bottom"/>
            <w:hideMark/>
          </w:tcPr>
          <w:p w:rsidR="00AA4D73" w:rsidRPr="00AA4D73" w:rsidRDefault="00AA4D73">
            <w:pPr>
              <w:jc w:val="right"/>
            </w:pPr>
            <w:r w:rsidRPr="00AA4D73">
              <w:t>500</w:t>
            </w:r>
          </w:p>
        </w:tc>
        <w:tc>
          <w:tcPr>
            <w:tcW w:w="1458" w:type="dxa"/>
            <w:vAlign w:val="bottom"/>
          </w:tcPr>
          <w:p w:rsidR="00AA4D73" w:rsidRPr="00AA4D73" w:rsidRDefault="00AA4D73">
            <w:pPr>
              <w:jc w:val="right"/>
            </w:pPr>
            <w:r w:rsidRPr="00AA4D73">
              <w:t>750</w:t>
            </w:r>
          </w:p>
        </w:tc>
      </w:tr>
      <w:tr w:rsidR="00AA4D73" w:rsidRPr="009A161C" w:rsidTr="00B91E56">
        <w:trPr>
          <w:trHeight w:val="225"/>
        </w:trPr>
        <w:tc>
          <w:tcPr>
            <w:tcW w:w="1730" w:type="dxa"/>
            <w:noWrap/>
            <w:hideMark/>
          </w:tcPr>
          <w:p w:rsidR="00AA4D73" w:rsidRPr="009A161C" w:rsidRDefault="00AA4D73" w:rsidP="00B91E56">
            <w:proofErr w:type="spellStart"/>
            <w:r w:rsidRPr="009A161C">
              <w:t>Jhb</w:t>
            </w:r>
            <w:proofErr w:type="spellEnd"/>
            <w:r w:rsidRPr="009A161C">
              <w:t xml:space="preserve"> - West</w:t>
            </w:r>
          </w:p>
        </w:tc>
        <w:tc>
          <w:tcPr>
            <w:tcW w:w="1464" w:type="dxa"/>
            <w:vAlign w:val="bottom"/>
          </w:tcPr>
          <w:p w:rsidR="00AA4D73" w:rsidRPr="00AA4D73" w:rsidRDefault="00AA4D73">
            <w:pPr>
              <w:jc w:val="right"/>
            </w:pPr>
            <w:r w:rsidRPr="00AA4D73">
              <w:t>350</w:t>
            </w:r>
          </w:p>
        </w:tc>
        <w:tc>
          <w:tcPr>
            <w:tcW w:w="1352" w:type="dxa"/>
            <w:vAlign w:val="bottom"/>
          </w:tcPr>
          <w:p w:rsidR="00AA4D73" w:rsidRPr="00AA4D73" w:rsidRDefault="00AA4D73">
            <w:pPr>
              <w:jc w:val="right"/>
            </w:pPr>
            <w:r w:rsidRPr="00AA4D73">
              <w:t>450</w:t>
            </w:r>
          </w:p>
        </w:tc>
        <w:tc>
          <w:tcPr>
            <w:tcW w:w="1705" w:type="dxa"/>
            <w:noWrap/>
            <w:vAlign w:val="bottom"/>
            <w:hideMark/>
          </w:tcPr>
          <w:p w:rsidR="00AA4D73" w:rsidRPr="00AA4D73" w:rsidRDefault="00AA4D73">
            <w:pPr>
              <w:jc w:val="right"/>
            </w:pPr>
            <w:r w:rsidRPr="00AA4D73">
              <w:t>585</w:t>
            </w:r>
          </w:p>
        </w:tc>
        <w:tc>
          <w:tcPr>
            <w:tcW w:w="1458" w:type="dxa"/>
            <w:vAlign w:val="bottom"/>
          </w:tcPr>
          <w:p w:rsidR="00AA4D73" w:rsidRPr="00AA4D73" w:rsidRDefault="00AA4D73">
            <w:pPr>
              <w:jc w:val="right"/>
            </w:pPr>
            <w:r w:rsidRPr="00AA4D73">
              <w:t>750</w:t>
            </w:r>
          </w:p>
        </w:tc>
      </w:tr>
      <w:tr w:rsidR="00AA4D73" w:rsidRPr="009A161C" w:rsidTr="00B91E56">
        <w:trPr>
          <w:trHeight w:val="225"/>
        </w:trPr>
        <w:tc>
          <w:tcPr>
            <w:tcW w:w="1730" w:type="dxa"/>
            <w:noWrap/>
            <w:hideMark/>
          </w:tcPr>
          <w:p w:rsidR="00AA4D73" w:rsidRPr="009A161C" w:rsidRDefault="00AA4D73" w:rsidP="00B91E56">
            <w:proofErr w:type="spellStart"/>
            <w:r w:rsidRPr="009A161C">
              <w:t>Neslspruit</w:t>
            </w:r>
            <w:proofErr w:type="spellEnd"/>
          </w:p>
        </w:tc>
        <w:tc>
          <w:tcPr>
            <w:tcW w:w="1464" w:type="dxa"/>
            <w:vAlign w:val="bottom"/>
          </w:tcPr>
          <w:p w:rsidR="00AA4D73" w:rsidRPr="00AA4D73" w:rsidRDefault="00AA4D73">
            <w:pPr>
              <w:jc w:val="right"/>
            </w:pPr>
            <w:r w:rsidRPr="00AA4D73">
              <w:t>350</w:t>
            </w:r>
          </w:p>
        </w:tc>
        <w:tc>
          <w:tcPr>
            <w:tcW w:w="1352" w:type="dxa"/>
            <w:vAlign w:val="bottom"/>
          </w:tcPr>
          <w:p w:rsidR="00AA4D73" w:rsidRPr="00AA4D73" w:rsidRDefault="00AA4D73">
            <w:pPr>
              <w:jc w:val="right"/>
            </w:pPr>
            <w:r w:rsidRPr="00AA4D73">
              <w:t>450</w:t>
            </w:r>
          </w:p>
        </w:tc>
        <w:tc>
          <w:tcPr>
            <w:tcW w:w="1705" w:type="dxa"/>
            <w:noWrap/>
            <w:vAlign w:val="bottom"/>
            <w:hideMark/>
          </w:tcPr>
          <w:p w:rsidR="00AA4D73" w:rsidRPr="00AA4D73" w:rsidRDefault="00AA4D73">
            <w:pPr>
              <w:jc w:val="right"/>
            </w:pPr>
            <w:r w:rsidRPr="00AA4D73">
              <w:t>500</w:t>
            </w:r>
          </w:p>
        </w:tc>
        <w:tc>
          <w:tcPr>
            <w:tcW w:w="1458" w:type="dxa"/>
            <w:vAlign w:val="bottom"/>
          </w:tcPr>
          <w:p w:rsidR="00AA4D73" w:rsidRPr="00AA4D73" w:rsidRDefault="00AA4D73">
            <w:pPr>
              <w:jc w:val="right"/>
            </w:pPr>
            <w:r w:rsidRPr="00AA4D73">
              <w:t>850</w:t>
            </w:r>
          </w:p>
        </w:tc>
      </w:tr>
      <w:tr w:rsidR="00AA4D73" w:rsidRPr="009A161C" w:rsidTr="00B91E56">
        <w:trPr>
          <w:trHeight w:val="225"/>
        </w:trPr>
        <w:tc>
          <w:tcPr>
            <w:tcW w:w="1730" w:type="dxa"/>
            <w:noWrap/>
            <w:hideMark/>
          </w:tcPr>
          <w:p w:rsidR="00AA4D73" w:rsidRPr="009A161C" w:rsidRDefault="00AA4D73" w:rsidP="00B91E56">
            <w:r w:rsidRPr="009A161C">
              <w:lastRenderedPageBreak/>
              <w:t>PE/EL</w:t>
            </w:r>
          </w:p>
        </w:tc>
        <w:tc>
          <w:tcPr>
            <w:tcW w:w="1464" w:type="dxa"/>
            <w:vAlign w:val="bottom"/>
          </w:tcPr>
          <w:p w:rsidR="00AA4D73" w:rsidRPr="00AA4D73" w:rsidRDefault="00AA4D73">
            <w:pPr>
              <w:jc w:val="right"/>
            </w:pPr>
            <w:r w:rsidRPr="00AA4D73">
              <w:t>288</w:t>
            </w:r>
          </w:p>
        </w:tc>
        <w:tc>
          <w:tcPr>
            <w:tcW w:w="1352" w:type="dxa"/>
            <w:vAlign w:val="bottom"/>
          </w:tcPr>
          <w:p w:rsidR="00AA4D73" w:rsidRPr="00AA4D73" w:rsidRDefault="00AA4D73">
            <w:pPr>
              <w:jc w:val="right"/>
            </w:pPr>
            <w:r w:rsidRPr="00AA4D73">
              <w:t>382</w:t>
            </w:r>
          </w:p>
        </w:tc>
        <w:tc>
          <w:tcPr>
            <w:tcW w:w="1705" w:type="dxa"/>
            <w:noWrap/>
            <w:vAlign w:val="bottom"/>
            <w:hideMark/>
          </w:tcPr>
          <w:p w:rsidR="00AA4D73" w:rsidRPr="00AA4D73" w:rsidRDefault="00AA4D73">
            <w:pPr>
              <w:jc w:val="right"/>
            </w:pPr>
            <w:r w:rsidRPr="00AA4D73">
              <w:t>450</w:t>
            </w:r>
          </w:p>
        </w:tc>
        <w:tc>
          <w:tcPr>
            <w:tcW w:w="1458" w:type="dxa"/>
            <w:vAlign w:val="bottom"/>
          </w:tcPr>
          <w:p w:rsidR="00AA4D73" w:rsidRPr="00AA4D73" w:rsidRDefault="00AA4D73">
            <w:pPr>
              <w:jc w:val="right"/>
            </w:pPr>
            <w:r w:rsidRPr="00AA4D73">
              <w:t>570</w:t>
            </w:r>
          </w:p>
        </w:tc>
      </w:tr>
      <w:tr w:rsidR="00AA4D73" w:rsidRPr="009A161C" w:rsidTr="00B91E56">
        <w:trPr>
          <w:trHeight w:val="225"/>
        </w:trPr>
        <w:tc>
          <w:tcPr>
            <w:tcW w:w="1730" w:type="dxa"/>
            <w:noWrap/>
            <w:hideMark/>
          </w:tcPr>
          <w:p w:rsidR="00AA4D73" w:rsidRPr="009A161C" w:rsidRDefault="00AA4D73" w:rsidP="00B91E56">
            <w:r w:rsidRPr="009A161C">
              <w:t>Pietermaritzburg</w:t>
            </w:r>
          </w:p>
        </w:tc>
        <w:tc>
          <w:tcPr>
            <w:tcW w:w="1464" w:type="dxa"/>
            <w:vAlign w:val="bottom"/>
          </w:tcPr>
          <w:p w:rsidR="00AA4D73" w:rsidRPr="00AA4D73" w:rsidRDefault="00AA4D73">
            <w:pPr>
              <w:jc w:val="right"/>
            </w:pPr>
            <w:r w:rsidRPr="00AA4D73">
              <w:t>281</w:t>
            </w:r>
          </w:p>
        </w:tc>
        <w:tc>
          <w:tcPr>
            <w:tcW w:w="1352" w:type="dxa"/>
            <w:vAlign w:val="bottom"/>
          </w:tcPr>
          <w:p w:rsidR="00AA4D73" w:rsidRPr="00AA4D73" w:rsidRDefault="00AA4D73">
            <w:pPr>
              <w:jc w:val="right"/>
            </w:pPr>
            <w:r w:rsidRPr="00AA4D73">
              <w:t>325</w:t>
            </w:r>
          </w:p>
        </w:tc>
        <w:tc>
          <w:tcPr>
            <w:tcW w:w="1705" w:type="dxa"/>
            <w:noWrap/>
            <w:vAlign w:val="bottom"/>
            <w:hideMark/>
          </w:tcPr>
          <w:p w:rsidR="00AA4D73" w:rsidRPr="00AA4D73" w:rsidRDefault="00AA4D73">
            <w:pPr>
              <w:jc w:val="right"/>
            </w:pPr>
            <w:r w:rsidRPr="00AA4D73">
              <w:t>371</w:t>
            </w:r>
          </w:p>
        </w:tc>
        <w:tc>
          <w:tcPr>
            <w:tcW w:w="1458" w:type="dxa"/>
            <w:vAlign w:val="bottom"/>
          </w:tcPr>
          <w:p w:rsidR="00AA4D73" w:rsidRPr="00AA4D73" w:rsidRDefault="00AA4D73">
            <w:pPr>
              <w:jc w:val="right"/>
            </w:pPr>
            <w:r w:rsidRPr="00AA4D73">
              <w:t>500</w:t>
            </w:r>
          </w:p>
        </w:tc>
      </w:tr>
      <w:tr w:rsidR="00AA4D73" w:rsidRPr="009A161C" w:rsidTr="00B91E56">
        <w:trPr>
          <w:trHeight w:val="225"/>
        </w:trPr>
        <w:tc>
          <w:tcPr>
            <w:tcW w:w="1730" w:type="dxa"/>
            <w:noWrap/>
            <w:hideMark/>
          </w:tcPr>
          <w:p w:rsidR="00AA4D73" w:rsidRPr="009A161C" w:rsidRDefault="00AA4D73" w:rsidP="00B91E56">
            <w:proofErr w:type="spellStart"/>
            <w:r w:rsidRPr="009A161C">
              <w:t>Polokwane</w:t>
            </w:r>
            <w:proofErr w:type="spellEnd"/>
          </w:p>
        </w:tc>
        <w:tc>
          <w:tcPr>
            <w:tcW w:w="1464" w:type="dxa"/>
            <w:vAlign w:val="bottom"/>
          </w:tcPr>
          <w:p w:rsidR="00AA4D73" w:rsidRPr="00AA4D73" w:rsidRDefault="00AA4D73">
            <w:pPr>
              <w:jc w:val="right"/>
            </w:pPr>
            <w:r w:rsidRPr="00AA4D73">
              <w:t>387</w:t>
            </w:r>
          </w:p>
        </w:tc>
        <w:tc>
          <w:tcPr>
            <w:tcW w:w="1352" w:type="dxa"/>
            <w:vAlign w:val="bottom"/>
          </w:tcPr>
          <w:p w:rsidR="00AA4D73" w:rsidRPr="00AA4D73" w:rsidRDefault="00AA4D73">
            <w:pPr>
              <w:jc w:val="right"/>
            </w:pPr>
            <w:r w:rsidRPr="00AA4D73">
              <w:t>500</w:t>
            </w:r>
          </w:p>
        </w:tc>
        <w:tc>
          <w:tcPr>
            <w:tcW w:w="1705" w:type="dxa"/>
            <w:noWrap/>
            <w:vAlign w:val="bottom"/>
            <w:hideMark/>
          </w:tcPr>
          <w:p w:rsidR="00AA4D73" w:rsidRPr="00AA4D73" w:rsidRDefault="00AA4D73">
            <w:pPr>
              <w:jc w:val="right"/>
            </w:pPr>
            <w:r w:rsidRPr="00AA4D73">
              <w:t>575</w:t>
            </w:r>
          </w:p>
        </w:tc>
        <w:tc>
          <w:tcPr>
            <w:tcW w:w="1458" w:type="dxa"/>
            <w:vAlign w:val="bottom"/>
          </w:tcPr>
          <w:p w:rsidR="00AA4D73" w:rsidRPr="00AA4D73" w:rsidRDefault="00AA4D73">
            <w:pPr>
              <w:jc w:val="right"/>
            </w:pPr>
            <w:r w:rsidRPr="00AA4D73">
              <w:t>650</w:t>
            </w:r>
          </w:p>
        </w:tc>
      </w:tr>
      <w:tr w:rsidR="00AA4D73" w:rsidRPr="009A161C" w:rsidTr="00B91E56">
        <w:trPr>
          <w:trHeight w:val="225"/>
        </w:trPr>
        <w:tc>
          <w:tcPr>
            <w:tcW w:w="1730" w:type="dxa"/>
            <w:noWrap/>
            <w:hideMark/>
          </w:tcPr>
          <w:p w:rsidR="00AA4D73" w:rsidRPr="009A161C" w:rsidRDefault="00AA4D73" w:rsidP="00B91E56">
            <w:r w:rsidRPr="009A161C">
              <w:t>Potchefstroom</w:t>
            </w:r>
          </w:p>
        </w:tc>
        <w:tc>
          <w:tcPr>
            <w:tcW w:w="1464" w:type="dxa"/>
            <w:vAlign w:val="bottom"/>
          </w:tcPr>
          <w:p w:rsidR="00AA4D73" w:rsidRPr="00AA4D73" w:rsidRDefault="00AA4D73">
            <w:pPr>
              <w:jc w:val="right"/>
            </w:pPr>
            <w:r w:rsidRPr="00AA4D73">
              <w:t>362</w:t>
            </w:r>
          </w:p>
        </w:tc>
        <w:tc>
          <w:tcPr>
            <w:tcW w:w="1352" w:type="dxa"/>
          </w:tcPr>
          <w:p w:rsidR="00AA4D73" w:rsidRPr="009A161C" w:rsidRDefault="00AA4D73" w:rsidP="00B91E56">
            <w:r w:rsidRPr="009A161C">
              <w:t>485</w:t>
            </w:r>
          </w:p>
        </w:tc>
        <w:tc>
          <w:tcPr>
            <w:tcW w:w="1705" w:type="dxa"/>
            <w:noWrap/>
            <w:hideMark/>
          </w:tcPr>
          <w:p w:rsidR="00AA4D73" w:rsidRPr="009A161C" w:rsidRDefault="00AA4D73" w:rsidP="00B91E56">
            <w:r w:rsidRPr="009A161C">
              <w:t>500</w:t>
            </w:r>
          </w:p>
        </w:tc>
        <w:tc>
          <w:tcPr>
            <w:tcW w:w="1458" w:type="dxa"/>
            <w:vAlign w:val="bottom"/>
          </w:tcPr>
          <w:p w:rsidR="00AA4D73" w:rsidRPr="00AA4D73" w:rsidRDefault="00AA4D73">
            <w:pPr>
              <w:jc w:val="right"/>
            </w:pPr>
            <w:r w:rsidRPr="00AA4D73">
              <w:t>550</w:t>
            </w:r>
          </w:p>
        </w:tc>
      </w:tr>
      <w:tr w:rsidR="00AA4D73" w:rsidRPr="009A161C" w:rsidTr="00B91E56">
        <w:trPr>
          <w:trHeight w:val="225"/>
        </w:trPr>
        <w:tc>
          <w:tcPr>
            <w:tcW w:w="1730" w:type="dxa"/>
            <w:noWrap/>
            <w:hideMark/>
          </w:tcPr>
          <w:p w:rsidR="00AA4D73" w:rsidRPr="009A161C" w:rsidRDefault="00AA4D73" w:rsidP="00B91E56">
            <w:r w:rsidRPr="009A161C">
              <w:t>Pretoria</w:t>
            </w:r>
          </w:p>
        </w:tc>
        <w:tc>
          <w:tcPr>
            <w:tcW w:w="1464" w:type="dxa"/>
            <w:vAlign w:val="bottom"/>
          </w:tcPr>
          <w:p w:rsidR="00AA4D73" w:rsidRPr="00AA4D73" w:rsidRDefault="00AA4D73">
            <w:pPr>
              <w:jc w:val="right"/>
            </w:pPr>
            <w:r w:rsidRPr="00AA4D73">
              <w:t>350</w:t>
            </w:r>
          </w:p>
        </w:tc>
        <w:tc>
          <w:tcPr>
            <w:tcW w:w="1352" w:type="dxa"/>
          </w:tcPr>
          <w:p w:rsidR="00AA4D73" w:rsidRPr="009A161C" w:rsidRDefault="00AA4D73" w:rsidP="00B91E56">
            <w:r w:rsidRPr="009A161C">
              <w:t>500</w:t>
            </w:r>
          </w:p>
        </w:tc>
        <w:tc>
          <w:tcPr>
            <w:tcW w:w="1705" w:type="dxa"/>
            <w:noWrap/>
            <w:hideMark/>
          </w:tcPr>
          <w:p w:rsidR="00AA4D73" w:rsidRPr="009A161C" w:rsidRDefault="00AA4D73" w:rsidP="00B91E56">
            <w:r w:rsidRPr="009A161C">
              <w:t>638</w:t>
            </w:r>
          </w:p>
        </w:tc>
        <w:tc>
          <w:tcPr>
            <w:tcW w:w="1458" w:type="dxa"/>
            <w:vAlign w:val="bottom"/>
          </w:tcPr>
          <w:p w:rsidR="00AA4D73" w:rsidRPr="00AA4D73" w:rsidRDefault="00AA4D73">
            <w:pPr>
              <w:jc w:val="right"/>
            </w:pPr>
            <w:r w:rsidRPr="00AA4D73">
              <w:t>1000</w:t>
            </w:r>
          </w:p>
        </w:tc>
      </w:tr>
    </w:tbl>
    <w:p w:rsidR="00AA4D73" w:rsidRDefault="00AA4D73"/>
    <w:p w:rsidR="004675EF" w:rsidRDefault="004675EF"/>
    <w:p w:rsidR="00FB1EE7" w:rsidRDefault="00FB1EE7">
      <w:r w:rsidRPr="00FB1EE7">
        <w:drawing>
          <wp:inline distT="0" distB="0" distL="0" distR="0">
            <wp:extent cx="5572125" cy="2943225"/>
            <wp:effectExtent l="19050" t="0" r="9525" b="0"/>
            <wp:docPr id="3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4D73" w:rsidRDefault="00AA4D73"/>
    <w:tbl>
      <w:tblPr>
        <w:tblStyle w:val="TableGrid"/>
        <w:tblW w:w="7709" w:type="dxa"/>
        <w:tblInd w:w="665" w:type="dxa"/>
        <w:tblLook w:val="04A0"/>
      </w:tblPr>
      <w:tblGrid>
        <w:gridCol w:w="1730"/>
        <w:gridCol w:w="1464"/>
        <w:gridCol w:w="1352"/>
        <w:gridCol w:w="1705"/>
        <w:gridCol w:w="1458"/>
      </w:tblGrid>
      <w:tr w:rsidR="00AA4D73" w:rsidRPr="009A161C" w:rsidTr="00B91E56">
        <w:trPr>
          <w:trHeight w:val="225"/>
        </w:trPr>
        <w:tc>
          <w:tcPr>
            <w:tcW w:w="7709" w:type="dxa"/>
            <w:gridSpan w:val="5"/>
            <w:noWrap/>
            <w:hideMark/>
          </w:tcPr>
          <w:p w:rsidR="00AA4D73" w:rsidRPr="009A161C" w:rsidRDefault="00AA4D73" w:rsidP="00AA4D73">
            <w:pPr>
              <w:jc w:val="center"/>
              <w:rPr>
                <w:b/>
                <w:bCs/>
              </w:rPr>
            </w:pPr>
            <w:r>
              <w:rPr>
                <w:b/>
                <w:bCs/>
              </w:rPr>
              <w:t xml:space="preserve">Postage and </w:t>
            </w:r>
            <w:proofErr w:type="spellStart"/>
            <w:r>
              <w:rPr>
                <w:b/>
                <w:bCs/>
              </w:rPr>
              <w:t>Petties</w:t>
            </w:r>
            <w:proofErr w:type="spellEnd"/>
            <w:r>
              <w:rPr>
                <w:b/>
                <w:bCs/>
              </w:rPr>
              <w:t xml:space="preserve"> Recovery - Cancellations</w:t>
            </w:r>
          </w:p>
        </w:tc>
      </w:tr>
      <w:tr w:rsidR="00AA4D73" w:rsidRPr="009A161C" w:rsidTr="00B91E56">
        <w:trPr>
          <w:trHeight w:val="225"/>
        </w:trPr>
        <w:tc>
          <w:tcPr>
            <w:tcW w:w="1730" w:type="dxa"/>
            <w:noWrap/>
            <w:hideMark/>
          </w:tcPr>
          <w:p w:rsidR="00AA4D73" w:rsidRPr="009A161C" w:rsidRDefault="00AA4D73" w:rsidP="00B91E56">
            <w:pPr>
              <w:rPr>
                <w:b/>
                <w:bCs/>
              </w:rPr>
            </w:pPr>
          </w:p>
        </w:tc>
        <w:tc>
          <w:tcPr>
            <w:tcW w:w="1464" w:type="dxa"/>
          </w:tcPr>
          <w:p w:rsidR="00AA4D73" w:rsidRPr="009A161C" w:rsidRDefault="00AA4D73" w:rsidP="00B91E56">
            <w:pPr>
              <w:rPr>
                <w:b/>
                <w:bCs/>
              </w:rPr>
            </w:pPr>
            <w:r w:rsidRPr="009A161C">
              <w:rPr>
                <w:b/>
                <w:bCs/>
              </w:rPr>
              <w:t>Lower 1/4</w:t>
            </w:r>
          </w:p>
        </w:tc>
        <w:tc>
          <w:tcPr>
            <w:tcW w:w="1352" w:type="dxa"/>
          </w:tcPr>
          <w:p w:rsidR="00AA4D73" w:rsidRPr="009A161C" w:rsidRDefault="00AA4D73" w:rsidP="00B91E56">
            <w:pPr>
              <w:rPr>
                <w:b/>
                <w:bCs/>
              </w:rPr>
            </w:pPr>
            <w:r w:rsidRPr="009A161C">
              <w:rPr>
                <w:b/>
                <w:bCs/>
              </w:rPr>
              <w:t>Median</w:t>
            </w:r>
          </w:p>
        </w:tc>
        <w:tc>
          <w:tcPr>
            <w:tcW w:w="1705" w:type="dxa"/>
            <w:noWrap/>
            <w:hideMark/>
          </w:tcPr>
          <w:p w:rsidR="00AA4D73" w:rsidRPr="009A161C" w:rsidRDefault="00AA4D73" w:rsidP="00B91E56">
            <w:pPr>
              <w:rPr>
                <w:b/>
                <w:bCs/>
              </w:rPr>
            </w:pPr>
            <w:r w:rsidRPr="009A161C">
              <w:rPr>
                <w:b/>
                <w:bCs/>
              </w:rPr>
              <w:t>Three quarter</w:t>
            </w:r>
          </w:p>
        </w:tc>
        <w:tc>
          <w:tcPr>
            <w:tcW w:w="1458" w:type="dxa"/>
          </w:tcPr>
          <w:p w:rsidR="00AA4D73" w:rsidRPr="009A161C" w:rsidRDefault="00AA4D73" w:rsidP="00B91E56">
            <w:pPr>
              <w:rPr>
                <w:b/>
                <w:bCs/>
              </w:rPr>
            </w:pPr>
            <w:r w:rsidRPr="009A161C">
              <w:rPr>
                <w:b/>
                <w:bCs/>
              </w:rPr>
              <w:t>High</w:t>
            </w:r>
          </w:p>
        </w:tc>
      </w:tr>
      <w:tr w:rsidR="00AA4D73" w:rsidRPr="009A161C" w:rsidTr="00B91E56">
        <w:trPr>
          <w:trHeight w:val="225"/>
        </w:trPr>
        <w:tc>
          <w:tcPr>
            <w:tcW w:w="1730" w:type="dxa"/>
            <w:noWrap/>
            <w:hideMark/>
          </w:tcPr>
          <w:p w:rsidR="00AA4D73" w:rsidRPr="009A161C" w:rsidRDefault="00AA4D73" w:rsidP="00B91E56">
            <w:r w:rsidRPr="009A161C">
              <w:t>National Average</w:t>
            </w:r>
          </w:p>
        </w:tc>
        <w:tc>
          <w:tcPr>
            <w:tcW w:w="1464" w:type="dxa"/>
            <w:vAlign w:val="bottom"/>
          </w:tcPr>
          <w:p w:rsidR="00AA4D73" w:rsidRDefault="00AA4D73">
            <w:pPr>
              <w:jc w:val="right"/>
              <w:rPr>
                <w:rFonts w:ascii="Arial" w:hAnsi="Arial" w:cs="Arial"/>
                <w:sz w:val="16"/>
                <w:szCs w:val="16"/>
              </w:rPr>
            </w:pPr>
            <w:r>
              <w:rPr>
                <w:rFonts w:ascii="Arial" w:hAnsi="Arial" w:cs="Arial"/>
                <w:sz w:val="16"/>
                <w:szCs w:val="16"/>
              </w:rPr>
              <w:t>125</w:t>
            </w:r>
          </w:p>
        </w:tc>
        <w:tc>
          <w:tcPr>
            <w:tcW w:w="1352" w:type="dxa"/>
            <w:vAlign w:val="bottom"/>
          </w:tcPr>
          <w:p w:rsidR="00AA4D73" w:rsidRDefault="00AA4D73">
            <w:pPr>
              <w:jc w:val="right"/>
              <w:rPr>
                <w:rFonts w:ascii="Arial" w:hAnsi="Arial" w:cs="Arial"/>
                <w:sz w:val="16"/>
                <w:szCs w:val="16"/>
              </w:rPr>
            </w:pPr>
            <w:r>
              <w:rPr>
                <w:rFonts w:ascii="Arial" w:hAnsi="Arial" w:cs="Arial"/>
                <w:sz w:val="16"/>
                <w:szCs w:val="16"/>
              </w:rPr>
              <w:t>200</w:t>
            </w:r>
          </w:p>
        </w:tc>
        <w:tc>
          <w:tcPr>
            <w:tcW w:w="1705" w:type="dxa"/>
            <w:noWrap/>
            <w:vAlign w:val="bottom"/>
            <w:hideMark/>
          </w:tcPr>
          <w:p w:rsidR="00AA4D73" w:rsidRDefault="00AA4D73">
            <w:pPr>
              <w:jc w:val="right"/>
              <w:rPr>
                <w:rFonts w:ascii="Arial" w:hAnsi="Arial" w:cs="Arial"/>
                <w:sz w:val="16"/>
                <w:szCs w:val="16"/>
              </w:rPr>
            </w:pPr>
            <w:r>
              <w:rPr>
                <w:rFonts w:ascii="Arial" w:hAnsi="Arial" w:cs="Arial"/>
                <w:sz w:val="16"/>
                <w:szCs w:val="16"/>
              </w:rPr>
              <w:t>285</w:t>
            </w:r>
          </w:p>
        </w:tc>
        <w:tc>
          <w:tcPr>
            <w:tcW w:w="1458" w:type="dxa"/>
            <w:vAlign w:val="bottom"/>
          </w:tcPr>
          <w:p w:rsidR="00AA4D73" w:rsidRDefault="00AA4D73">
            <w:pPr>
              <w:jc w:val="right"/>
              <w:rPr>
                <w:rFonts w:ascii="Arial" w:hAnsi="Arial" w:cs="Arial"/>
                <w:sz w:val="16"/>
                <w:szCs w:val="16"/>
              </w:rPr>
            </w:pPr>
            <w:r>
              <w:rPr>
                <w:rFonts w:ascii="Arial" w:hAnsi="Arial" w:cs="Arial"/>
                <w:sz w:val="16"/>
                <w:szCs w:val="16"/>
              </w:rPr>
              <w:t>925</w:t>
            </w:r>
          </w:p>
        </w:tc>
      </w:tr>
      <w:tr w:rsidR="00AA4D73" w:rsidRPr="009A161C" w:rsidTr="00B91E56">
        <w:trPr>
          <w:trHeight w:val="225"/>
        </w:trPr>
        <w:tc>
          <w:tcPr>
            <w:tcW w:w="1730" w:type="dxa"/>
            <w:noWrap/>
            <w:hideMark/>
          </w:tcPr>
          <w:p w:rsidR="00AA4D73" w:rsidRPr="009A161C" w:rsidRDefault="00AA4D73" w:rsidP="00B91E56">
            <w:r w:rsidRPr="009A161C">
              <w:t>Bloemfontein</w:t>
            </w:r>
          </w:p>
        </w:tc>
        <w:tc>
          <w:tcPr>
            <w:tcW w:w="1464" w:type="dxa"/>
            <w:vAlign w:val="bottom"/>
          </w:tcPr>
          <w:p w:rsidR="00AA4D73" w:rsidRDefault="00AA4D73">
            <w:pPr>
              <w:jc w:val="right"/>
              <w:rPr>
                <w:rFonts w:ascii="Arial" w:hAnsi="Arial" w:cs="Arial"/>
                <w:sz w:val="16"/>
                <w:szCs w:val="16"/>
              </w:rPr>
            </w:pPr>
            <w:r>
              <w:rPr>
                <w:rFonts w:ascii="Arial" w:hAnsi="Arial" w:cs="Arial"/>
                <w:sz w:val="16"/>
                <w:szCs w:val="16"/>
              </w:rPr>
              <w:t>150</w:t>
            </w:r>
          </w:p>
        </w:tc>
        <w:tc>
          <w:tcPr>
            <w:tcW w:w="1352" w:type="dxa"/>
            <w:vAlign w:val="bottom"/>
          </w:tcPr>
          <w:p w:rsidR="00AA4D73" w:rsidRDefault="00AA4D73">
            <w:pPr>
              <w:jc w:val="right"/>
              <w:rPr>
                <w:rFonts w:ascii="Arial" w:hAnsi="Arial" w:cs="Arial"/>
                <w:sz w:val="16"/>
                <w:szCs w:val="16"/>
              </w:rPr>
            </w:pPr>
            <w:r>
              <w:rPr>
                <w:rFonts w:ascii="Arial" w:hAnsi="Arial" w:cs="Arial"/>
                <w:sz w:val="16"/>
                <w:szCs w:val="16"/>
              </w:rPr>
              <w:t>180</w:t>
            </w:r>
          </w:p>
        </w:tc>
        <w:tc>
          <w:tcPr>
            <w:tcW w:w="1705" w:type="dxa"/>
            <w:noWrap/>
            <w:vAlign w:val="bottom"/>
            <w:hideMark/>
          </w:tcPr>
          <w:p w:rsidR="00AA4D73" w:rsidRDefault="00AA4D73">
            <w:pPr>
              <w:jc w:val="right"/>
              <w:rPr>
                <w:rFonts w:ascii="Arial" w:hAnsi="Arial" w:cs="Arial"/>
                <w:sz w:val="16"/>
                <w:szCs w:val="16"/>
              </w:rPr>
            </w:pPr>
            <w:r>
              <w:rPr>
                <w:rFonts w:ascii="Arial" w:hAnsi="Arial" w:cs="Arial"/>
                <w:sz w:val="16"/>
                <w:szCs w:val="16"/>
              </w:rPr>
              <w:t>350</w:t>
            </w:r>
          </w:p>
        </w:tc>
        <w:tc>
          <w:tcPr>
            <w:tcW w:w="1458" w:type="dxa"/>
            <w:vAlign w:val="bottom"/>
          </w:tcPr>
          <w:p w:rsidR="00AA4D73" w:rsidRDefault="00AA4D73">
            <w:pPr>
              <w:jc w:val="right"/>
              <w:rPr>
                <w:rFonts w:ascii="Arial" w:hAnsi="Arial" w:cs="Arial"/>
                <w:sz w:val="16"/>
                <w:szCs w:val="16"/>
              </w:rPr>
            </w:pPr>
            <w:r>
              <w:rPr>
                <w:rFonts w:ascii="Arial" w:hAnsi="Arial" w:cs="Arial"/>
                <w:sz w:val="16"/>
                <w:szCs w:val="16"/>
              </w:rPr>
              <w:t>800</w:t>
            </w:r>
          </w:p>
        </w:tc>
      </w:tr>
      <w:tr w:rsidR="00AA4D73" w:rsidRPr="009A161C" w:rsidTr="00B91E56">
        <w:trPr>
          <w:trHeight w:val="225"/>
        </w:trPr>
        <w:tc>
          <w:tcPr>
            <w:tcW w:w="1730" w:type="dxa"/>
            <w:noWrap/>
            <w:hideMark/>
          </w:tcPr>
          <w:p w:rsidR="00AA4D73" w:rsidRPr="009A161C" w:rsidRDefault="00AA4D73" w:rsidP="00B91E56">
            <w:r w:rsidRPr="009A161C">
              <w:t>Cape Town</w:t>
            </w:r>
          </w:p>
        </w:tc>
        <w:tc>
          <w:tcPr>
            <w:tcW w:w="1464" w:type="dxa"/>
            <w:vAlign w:val="bottom"/>
          </w:tcPr>
          <w:p w:rsidR="00AA4D73" w:rsidRDefault="00AA4D73">
            <w:pPr>
              <w:jc w:val="right"/>
              <w:rPr>
                <w:rFonts w:ascii="Arial" w:hAnsi="Arial" w:cs="Arial"/>
                <w:sz w:val="16"/>
                <w:szCs w:val="16"/>
              </w:rPr>
            </w:pPr>
            <w:r>
              <w:rPr>
                <w:rFonts w:ascii="Arial" w:hAnsi="Arial" w:cs="Arial"/>
                <w:sz w:val="16"/>
                <w:szCs w:val="16"/>
              </w:rPr>
              <w:t>350</w:t>
            </w:r>
          </w:p>
        </w:tc>
        <w:tc>
          <w:tcPr>
            <w:tcW w:w="1352" w:type="dxa"/>
            <w:vAlign w:val="bottom"/>
          </w:tcPr>
          <w:p w:rsidR="00AA4D73" w:rsidRDefault="00AA4D73">
            <w:pPr>
              <w:jc w:val="right"/>
              <w:rPr>
                <w:rFonts w:ascii="Arial" w:hAnsi="Arial" w:cs="Arial"/>
                <w:sz w:val="16"/>
                <w:szCs w:val="16"/>
              </w:rPr>
            </w:pPr>
            <w:r>
              <w:rPr>
                <w:rFonts w:ascii="Arial" w:hAnsi="Arial" w:cs="Arial"/>
                <w:sz w:val="16"/>
                <w:szCs w:val="16"/>
              </w:rPr>
              <w:t>400</w:t>
            </w:r>
          </w:p>
        </w:tc>
        <w:tc>
          <w:tcPr>
            <w:tcW w:w="1705" w:type="dxa"/>
            <w:noWrap/>
            <w:vAlign w:val="bottom"/>
            <w:hideMark/>
          </w:tcPr>
          <w:p w:rsidR="00AA4D73" w:rsidRDefault="00AA4D73">
            <w:pPr>
              <w:jc w:val="right"/>
              <w:rPr>
                <w:rFonts w:ascii="Arial" w:hAnsi="Arial" w:cs="Arial"/>
                <w:sz w:val="16"/>
                <w:szCs w:val="16"/>
              </w:rPr>
            </w:pPr>
            <w:r>
              <w:rPr>
                <w:rFonts w:ascii="Arial" w:hAnsi="Arial" w:cs="Arial"/>
                <w:sz w:val="16"/>
                <w:szCs w:val="16"/>
              </w:rPr>
              <w:t>450</w:t>
            </w:r>
          </w:p>
        </w:tc>
        <w:tc>
          <w:tcPr>
            <w:tcW w:w="1458" w:type="dxa"/>
            <w:vAlign w:val="bottom"/>
          </w:tcPr>
          <w:p w:rsidR="00AA4D73" w:rsidRDefault="00AA4D73">
            <w:pPr>
              <w:jc w:val="right"/>
              <w:rPr>
                <w:rFonts w:ascii="Arial" w:hAnsi="Arial" w:cs="Arial"/>
                <w:sz w:val="16"/>
                <w:szCs w:val="16"/>
              </w:rPr>
            </w:pPr>
            <w:r>
              <w:rPr>
                <w:rFonts w:ascii="Arial" w:hAnsi="Arial" w:cs="Arial"/>
                <w:sz w:val="16"/>
                <w:szCs w:val="16"/>
              </w:rPr>
              <w:t>950</w:t>
            </w:r>
          </w:p>
        </w:tc>
      </w:tr>
      <w:tr w:rsidR="00AA4D73" w:rsidRPr="009A161C" w:rsidTr="00B91E56">
        <w:trPr>
          <w:trHeight w:val="225"/>
        </w:trPr>
        <w:tc>
          <w:tcPr>
            <w:tcW w:w="1730" w:type="dxa"/>
            <w:noWrap/>
            <w:hideMark/>
          </w:tcPr>
          <w:p w:rsidR="00AA4D73" w:rsidRPr="009A161C" w:rsidRDefault="00AA4D73" w:rsidP="00B91E56">
            <w:r w:rsidRPr="009A161C">
              <w:t>Durban</w:t>
            </w:r>
          </w:p>
        </w:tc>
        <w:tc>
          <w:tcPr>
            <w:tcW w:w="1464" w:type="dxa"/>
            <w:vAlign w:val="bottom"/>
          </w:tcPr>
          <w:p w:rsidR="00AA4D73" w:rsidRDefault="00AA4D73">
            <w:pPr>
              <w:jc w:val="right"/>
              <w:rPr>
                <w:rFonts w:ascii="Arial" w:hAnsi="Arial" w:cs="Arial"/>
                <w:sz w:val="16"/>
                <w:szCs w:val="16"/>
              </w:rPr>
            </w:pPr>
            <w:r>
              <w:rPr>
                <w:rFonts w:ascii="Arial" w:hAnsi="Arial" w:cs="Arial"/>
                <w:sz w:val="16"/>
                <w:szCs w:val="16"/>
              </w:rPr>
              <w:t>150</w:t>
            </w:r>
          </w:p>
        </w:tc>
        <w:tc>
          <w:tcPr>
            <w:tcW w:w="1352" w:type="dxa"/>
            <w:vAlign w:val="bottom"/>
          </w:tcPr>
          <w:p w:rsidR="00AA4D73" w:rsidRDefault="00AA4D73">
            <w:pPr>
              <w:jc w:val="right"/>
              <w:rPr>
                <w:rFonts w:ascii="Arial" w:hAnsi="Arial" w:cs="Arial"/>
                <w:sz w:val="16"/>
                <w:szCs w:val="16"/>
              </w:rPr>
            </w:pPr>
            <w:r>
              <w:rPr>
                <w:rFonts w:ascii="Arial" w:hAnsi="Arial" w:cs="Arial"/>
                <w:sz w:val="16"/>
                <w:szCs w:val="16"/>
              </w:rPr>
              <w:t>200</w:t>
            </w:r>
          </w:p>
        </w:tc>
        <w:tc>
          <w:tcPr>
            <w:tcW w:w="1705" w:type="dxa"/>
            <w:noWrap/>
            <w:vAlign w:val="bottom"/>
            <w:hideMark/>
          </w:tcPr>
          <w:p w:rsidR="00AA4D73" w:rsidRDefault="00AA4D73">
            <w:pPr>
              <w:jc w:val="right"/>
              <w:rPr>
                <w:rFonts w:ascii="Arial" w:hAnsi="Arial" w:cs="Arial"/>
                <w:sz w:val="16"/>
                <w:szCs w:val="16"/>
              </w:rPr>
            </w:pPr>
            <w:r>
              <w:rPr>
                <w:rFonts w:ascii="Arial" w:hAnsi="Arial" w:cs="Arial"/>
                <w:sz w:val="16"/>
                <w:szCs w:val="16"/>
              </w:rPr>
              <w:t>250</w:t>
            </w:r>
          </w:p>
        </w:tc>
        <w:tc>
          <w:tcPr>
            <w:tcW w:w="1458" w:type="dxa"/>
            <w:vAlign w:val="bottom"/>
          </w:tcPr>
          <w:p w:rsidR="00AA4D73" w:rsidRDefault="00AA4D73">
            <w:pPr>
              <w:jc w:val="right"/>
              <w:rPr>
                <w:rFonts w:ascii="Arial" w:hAnsi="Arial" w:cs="Arial"/>
                <w:sz w:val="16"/>
                <w:szCs w:val="16"/>
              </w:rPr>
            </w:pPr>
            <w:r>
              <w:rPr>
                <w:rFonts w:ascii="Arial" w:hAnsi="Arial" w:cs="Arial"/>
                <w:sz w:val="16"/>
                <w:szCs w:val="16"/>
              </w:rPr>
              <w:t>500</w:t>
            </w:r>
          </w:p>
        </w:tc>
      </w:tr>
      <w:tr w:rsidR="00AA4D73" w:rsidRPr="009A161C" w:rsidTr="00B91E56">
        <w:trPr>
          <w:trHeight w:val="225"/>
        </w:trPr>
        <w:tc>
          <w:tcPr>
            <w:tcW w:w="1730" w:type="dxa"/>
            <w:noWrap/>
            <w:hideMark/>
          </w:tcPr>
          <w:p w:rsidR="00AA4D73" w:rsidRPr="009A161C" w:rsidRDefault="00AA4D73" w:rsidP="00B91E56">
            <w:proofErr w:type="spellStart"/>
            <w:r w:rsidRPr="009A161C">
              <w:t>Jhb</w:t>
            </w:r>
            <w:proofErr w:type="spellEnd"/>
            <w:r w:rsidRPr="009A161C">
              <w:t xml:space="preserve"> - East</w:t>
            </w:r>
          </w:p>
        </w:tc>
        <w:tc>
          <w:tcPr>
            <w:tcW w:w="1464" w:type="dxa"/>
            <w:vAlign w:val="bottom"/>
          </w:tcPr>
          <w:p w:rsidR="00AA4D73" w:rsidRDefault="00AA4D73">
            <w:pPr>
              <w:jc w:val="right"/>
              <w:rPr>
                <w:rFonts w:ascii="Arial" w:hAnsi="Arial" w:cs="Arial"/>
                <w:sz w:val="16"/>
                <w:szCs w:val="16"/>
              </w:rPr>
            </w:pPr>
            <w:r>
              <w:rPr>
                <w:rFonts w:ascii="Arial" w:hAnsi="Arial" w:cs="Arial"/>
                <w:sz w:val="16"/>
                <w:szCs w:val="16"/>
              </w:rPr>
              <w:t>110</w:t>
            </w:r>
          </w:p>
        </w:tc>
        <w:tc>
          <w:tcPr>
            <w:tcW w:w="1352" w:type="dxa"/>
            <w:vAlign w:val="bottom"/>
          </w:tcPr>
          <w:p w:rsidR="00AA4D73" w:rsidRDefault="00AA4D73">
            <w:pPr>
              <w:jc w:val="right"/>
              <w:rPr>
                <w:rFonts w:ascii="Arial" w:hAnsi="Arial" w:cs="Arial"/>
                <w:sz w:val="16"/>
                <w:szCs w:val="16"/>
              </w:rPr>
            </w:pPr>
            <w:r>
              <w:rPr>
                <w:rFonts w:ascii="Arial" w:hAnsi="Arial" w:cs="Arial"/>
                <w:sz w:val="16"/>
                <w:szCs w:val="16"/>
              </w:rPr>
              <w:t>200</w:t>
            </w:r>
          </w:p>
        </w:tc>
        <w:tc>
          <w:tcPr>
            <w:tcW w:w="1705" w:type="dxa"/>
            <w:noWrap/>
            <w:vAlign w:val="bottom"/>
            <w:hideMark/>
          </w:tcPr>
          <w:p w:rsidR="00AA4D73" w:rsidRDefault="00AA4D73">
            <w:pPr>
              <w:jc w:val="right"/>
              <w:rPr>
                <w:rFonts w:ascii="Arial" w:hAnsi="Arial" w:cs="Arial"/>
                <w:sz w:val="16"/>
                <w:szCs w:val="16"/>
              </w:rPr>
            </w:pPr>
            <w:r>
              <w:rPr>
                <w:rFonts w:ascii="Arial" w:hAnsi="Arial" w:cs="Arial"/>
                <w:sz w:val="16"/>
                <w:szCs w:val="16"/>
              </w:rPr>
              <w:t>300</w:t>
            </w:r>
          </w:p>
        </w:tc>
        <w:tc>
          <w:tcPr>
            <w:tcW w:w="1458" w:type="dxa"/>
            <w:vAlign w:val="bottom"/>
          </w:tcPr>
          <w:p w:rsidR="00AA4D73" w:rsidRDefault="00AA4D73">
            <w:pPr>
              <w:jc w:val="right"/>
              <w:rPr>
                <w:rFonts w:ascii="Arial" w:hAnsi="Arial" w:cs="Arial"/>
                <w:sz w:val="16"/>
                <w:szCs w:val="16"/>
              </w:rPr>
            </w:pPr>
            <w:r>
              <w:rPr>
                <w:rFonts w:ascii="Arial" w:hAnsi="Arial" w:cs="Arial"/>
                <w:sz w:val="16"/>
                <w:szCs w:val="16"/>
              </w:rPr>
              <w:t>450</w:t>
            </w:r>
          </w:p>
        </w:tc>
      </w:tr>
      <w:tr w:rsidR="00AA4D73" w:rsidRPr="009A161C" w:rsidTr="00B91E56">
        <w:trPr>
          <w:trHeight w:val="225"/>
        </w:trPr>
        <w:tc>
          <w:tcPr>
            <w:tcW w:w="1730" w:type="dxa"/>
            <w:noWrap/>
            <w:hideMark/>
          </w:tcPr>
          <w:p w:rsidR="00AA4D73" w:rsidRPr="009A161C" w:rsidRDefault="00AA4D73" w:rsidP="00B91E56">
            <w:proofErr w:type="spellStart"/>
            <w:r w:rsidRPr="009A161C">
              <w:t>Jhb</w:t>
            </w:r>
            <w:proofErr w:type="spellEnd"/>
            <w:r w:rsidRPr="009A161C">
              <w:t xml:space="preserve"> - </w:t>
            </w:r>
            <w:proofErr w:type="spellStart"/>
            <w:r w:rsidRPr="009A161C">
              <w:t>Sandton</w:t>
            </w:r>
            <w:proofErr w:type="spellEnd"/>
          </w:p>
        </w:tc>
        <w:tc>
          <w:tcPr>
            <w:tcW w:w="1464" w:type="dxa"/>
            <w:vAlign w:val="bottom"/>
          </w:tcPr>
          <w:p w:rsidR="00AA4D73" w:rsidRDefault="00AA4D73">
            <w:pPr>
              <w:jc w:val="right"/>
              <w:rPr>
                <w:rFonts w:ascii="Arial" w:hAnsi="Arial" w:cs="Arial"/>
                <w:sz w:val="16"/>
                <w:szCs w:val="16"/>
              </w:rPr>
            </w:pPr>
            <w:r>
              <w:rPr>
                <w:rFonts w:ascii="Arial" w:hAnsi="Arial" w:cs="Arial"/>
                <w:sz w:val="16"/>
                <w:szCs w:val="16"/>
              </w:rPr>
              <w:t>120</w:t>
            </w:r>
          </w:p>
        </w:tc>
        <w:tc>
          <w:tcPr>
            <w:tcW w:w="1352" w:type="dxa"/>
            <w:vAlign w:val="bottom"/>
          </w:tcPr>
          <w:p w:rsidR="00AA4D73" w:rsidRDefault="00AA4D73">
            <w:pPr>
              <w:jc w:val="right"/>
              <w:rPr>
                <w:rFonts w:ascii="Arial" w:hAnsi="Arial" w:cs="Arial"/>
                <w:sz w:val="16"/>
                <w:szCs w:val="16"/>
              </w:rPr>
            </w:pPr>
            <w:r>
              <w:rPr>
                <w:rFonts w:ascii="Arial" w:hAnsi="Arial" w:cs="Arial"/>
                <w:sz w:val="16"/>
                <w:szCs w:val="16"/>
              </w:rPr>
              <w:t>200</w:t>
            </w:r>
          </w:p>
        </w:tc>
        <w:tc>
          <w:tcPr>
            <w:tcW w:w="1705" w:type="dxa"/>
            <w:noWrap/>
            <w:vAlign w:val="bottom"/>
            <w:hideMark/>
          </w:tcPr>
          <w:p w:rsidR="00AA4D73" w:rsidRDefault="00AA4D73">
            <w:pPr>
              <w:jc w:val="right"/>
              <w:rPr>
                <w:rFonts w:ascii="Arial" w:hAnsi="Arial" w:cs="Arial"/>
                <w:sz w:val="16"/>
                <w:szCs w:val="16"/>
              </w:rPr>
            </w:pPr>
            <w:r>
              <w:rPr>
                <w:rFonts w:ascii="Arial" w:hAnsi="Arial" w:cs="Arial"/>
                <w:sz w:val="16"/>
                <w:szCs w:val="16"/>
              </w:rPr>
              <w:t>300</w:t>
            </w:r>
          </w:p>
        </w:tc>
        <w:tc>
          <w:tcPr>
            <w:tcW w:w="1458" w:type="dxa"/>
            <w:vAlign w:val="bottom"/>
          </w:tcPr>
          <w:p w:rsidR="00AA4D73" w:rsidRDefault="00AA4D73">
            <w:pPr>
              <w:jc w:val="right"/>
              <w:rPr>
                <w:rFonts w:ascii="Arial" w:hAnsi="Arial" w:cs="Arial"/>
                <w:sz w:val="16"/>
                <w:szCs w:val="16"/>
              </w:rPr>
            </w:pPr>
            <w:r>
              <w:rPr>
                <w:rFonts w:ascii="Arial" w:hAnsi="Arial" w:cs="Arial"/>
                <w:sz w:val="16"/>
                <w:szCs w:val="16"/>
              </w:rPr>
              <w:t>925</w:t>
            </w:r>
          </w:p>
        </w:tc>
      </w:tr>
      <w:tr w:rsidR="00AA4D73" w:rsidRPr="009A161C" w:rsidTr="00B91E56">
        <w:trPr>
          <w:trHeight w:val="225"/>
        </w:trPr>
        <w:tc>
          <w:tcPr>
            <w:tcW w:w="1730" w:type="dxa"/>
            <w:noWrap/>
            <w:hideMark/>
          </w:tcPr>
          <w:p w:rsidR="00AA4D73" w:rsidRPr="009A161C" w:rsidRDefault="00AA4D73" w:rsidP="00B91E56">
            <w:proofErr w:type="spellStart"/>
            <w:r w:rsidRPr="009A161C">
              <w:t>Jhb</w:t>
            </w:r>
            <w:proofErr w:type="spellEnd"/>
            <w:r w:rsidRPr="009A161C">
              <w:t xml:space="preserve"> - South</w:t>
            </w:r>
          </w:p>
        </w:tc>
        <w:tc>
          <w:tcPr>
            <w:tcW w:w="1464" w:type="dxa"/>
            <w:vAlign w:val="bottom"/>
          </w:tcPr>
          <w:p w:rsidR="00AA4D73" w:rsidRDefault="00AA4D73">
            <w:pPr>
              <w:jc w:val="right"/>
              <w:rPr>
                <w:rFonts w:ascii="Arial" w:hAnsi="Arial" w:cs="Arial"/>
                <w:sz w:val="16"/>
                <w:szCs w:val="16"/>
              </w:rPr>
            </w:pPr>
            <w:r>
              <w:rPr>
                <w:rFonts w:ascii="Arial" w:hAnsi="Arial" w:cs="Arial"/>
                <w:sz w:val="16"/>
                <w:szCs w:val="16"/>
              </w:rPr>
              <w:t>142</w:t>
            </w:r>
          </w:p>
        </w:tc>
        <w:tc>
          <w:tcPr>
            <w:tcW w:w="1352" w:type="dxa"/>
            <w:vAlign w:val="bottom"/>
          </w:tcPr>
          <w:p w:rsidR="00AA4D73" w:rsidRDefault="00AA4D73">
            <w:pPr>
              <w:jc w:val="right"/>
              <w:rPr>
                <w:rFonts w:ascii="Arial" w:hAnsi="Arial" w:cs="Arial"/>
                <w:sz w:val="16"/>
                <w:szCs w:val="16"/>
              </w:rPr>
            </w:pPr>
            <w:r>
              <w:rPr>
                <w:rFonts w:ascii="Arial" w:hAnsi="Arial" w:cs="Arial"/>
                <w:sz w:val="16"/>
                <w:szCs w:val="16"/>
              </w:rPr>
              <w:t>267</w:t>
            </w:r>
          </w:p>
        </w:tc>
        <w:tc>
          <w:tcPr>
            <w:tcW w:w="1705" w:type="dxa"/>
            <w:noWrap/>
            <w:vAlign w:val="bottom"/>
            <w:hideMark/>
          </w:tcPr>
          <w:p w:rsidR="00AA4D73" w:rsidRDefault="00AA4D73">
            <w:pPr>
              <w:jc w:val="right"/>
              <w:rPr>
                <w:rFonts w:ascii="Arial" w:hAnsi="Arial" w:cs="Arial"/>
                <w:sz w:val="16"/>
                <w:szCs w:val="16"/>
              </w:rPr>
            </w:pPr>
            <w:r>
              <w:rPr>
                <w:rFonts w:ascii="Arial" w:hAnsi="Arial" w:cs="Arial"/>
                <w:sz w:val="16"/>
                <w:szCs w:val="16"/>
              </w:rPr>
              <w:t>350</w:t>
            </w:r>
          </w:p>
        </w:tc>
        <w:tc>
          <w:tcPr>
            <w:tcW w:w="1458" w:type="dxa"/>
            <w:vAlign w:val="bottom"/>
          </w:tcPr>
          <w:p w:rsidR="00AA4D73" w:rsidRDefault="00AA4D73">
            <w:pPr>
              <w:jc w:val="right"/>
              <w:rPr>
                <w:rFonts w:ascii="Arial" w:hAnsi="Arial" w:cs="Arial"/>
                <w:sz w:val="16"/>
                <w:szCs w:val="16"/>
              </w:rPr>
            </w:pPr>
            <w:r>
              <w:rPr>
                <w:rFonts w:ascii="Arial" w:hAnsi="Arial" w:cs="Arial"/>
                <w:sz w:val="16"/>
                <w:szCs w:val="16"/>
              </w:rPr>
              <w:t>750</w:t>
            </w:r>
          </w:p>
        </w:tc>
      </w:tr>
      <w:tr w:rsidR="00AA4D73" w:rsidRPr="009A161C" w:rsidTr="00B91E56">
        <w:trPr>
          <w:trHeight w:val="225"/>
        </w:trPr>
        <w:tc>
          <w:tcPr>
            <w:tcW w:w="1730" w:type="dxa"/>
            <w:noWrap/>
            <w:hideMark/>
          </w:tcPr>
          <w:p w:rsidR="00AA4D73" w:rsidRPr="009A161C" w:rsidRDefault="00AA4D73" w:rsidP="00B91E56">
            <w:proofErr w:type="spellStart"/>
            <w:r w:rsidRPr="009A161C">
              <w:t>Jhb</w:t>
            </w:r>
            <w:proofErr w:type="spellEnd"/>
            <w:r w:rsidRPr="009A161C">
              <w:t xml:space="preserve"> - West</w:t>
            </w:r>
          </w:p>
        </w:tc>
        <w:tc>
          <w:tcPr>
            <w:tcW w:w="1464" w:type="dxa"/>
            <w:vAlign w:val="bottom"/>
          </w:tcPr>
          <w:p w:rsidR="00AA4D73" w:rsidRDefault="00AA4D73">
            <w:pPr>
              <w:jc w:val="right"/>
              <w:rPr>
                <w:rFonts w:ascii="Arial" w:hAnsi="Arial" w:cs="Arial"/>
                <w:sz w:val="16"/>
                <w:szCs w:val="16"/>
              </w:rPr>
            </w:pPr>
            <w:r>
              <w:rPr>
                <w:rFonts w:ascii="Arial" w:hAnsi="Arial" w:cs="Arial"/>
                <w:sz w:val="16"/>
                <w:szCs w:val="16"/>
              </w:rPr>
              <w:t>125</w:t>
            </w:r>
          </w:p>
        </w:tc>
        <w:tc>
          <w:tcPr>
            <w:tcW w:w="1352" w:type="dxa"/>
            <w:vAlign w:val="bottom"/>
          </w:tcPr>
          <w:p w:rsidR="00AA4D73" w:rsidRDefault="00AA4D73">
            <w:pPr>
              <w:jc w:val="right"/>
              <w:rPr>
                <w:rFonts w:ascii="Arial" w:hAnsi="Arial" w:cs="Arial"/>
                <w:sz w:val="16"/>
                <w:szCs w:val="16"/>
              </w:rPr>
            </w:pPr>
            <w:r>
              <w:rPr>
                <w:rFonts w:ascii="Arial" w:hAnsi="Arial" w:cs="Arial"/>
                <w:sz w:val="16"/>
                <w:szCs w:val="16"/>
              </w:rPr>
              <w:t>200</w:t>
            </w:r>
          </w:p>
        </w:tc>
        <w:tc>
          <w:tcPr>
            <w:tcW w:w="1705" w:type="dxa"/>
            <w:noWrap/>
            <w:vAlign w:val="bottom"/>
            <w:hideMark/>
          </w:tcPr>
          <w:p w:rsidR="00AA4D73" w:rsidRDefault="00AA4D73">
            <w:pPr>
              <w:jc w:val="right"/>
              <w:rPr>
                <w:rFonts w:ascii="Arial" w:hAnsi="Arial" w:cs="Arial"/>
                <w:sz w:val="16"/>
                <w:szCs w:val="16"/>
              </w:rPr>
            </w:pPr>
            <w:r>
              <w:rPr>
                <w:rFonts w:ascii="Arial" w:hAnsi="Arial" w:cs="Arial"/>
                <w:sz w:val="16"/>
                <w:szCs w:val="16"/>
              </w:rPr>
              <w:t>250</w:t>
            </w:r>
          </w:p>
        </w:tc>
        <w:tc>
          <w:tcPr>
            <w:tcW w:w="1458" w:type="dxa"/>
            <w:vAlign w:val="bottom"/>
          </w:tcPr>
          <w:p w:rsidR="00AA4D73" w:rsidRDefault="00AA4D73">
            <w:pPr>
              <w:jc w:val="right"/>
              <w:rPr>
                <w:rFonts w:ascii="Arial" w:hAnsi="Arial" w:cs="Arial"/>
                <w:sz w:val="16"/>
                <w:szCs w:val="16"/>
              </w:rPr>
            </w:pPr>
            <w:r>
              <w:rPr>
                <w:rFonts w:ascii="Arial" w:hAnsi="Arial" w:cs="Arial"/>
                <w:sz w:val="16"/>
                <w:szCs w:val="16"/>
              </w:rPr>
              <w:t>750</w:t>
            </w:r>
          </w:p>
        </w:tc>
      </w:tr>
      <w:tr w:rsidR="00AA4D73" w:rsidRPr="009A161C" w:rsidTr="00B91E56">
        <w:trPr>
          <w:trHeight w:val="225"/>
        </w:trPr>
        <w:tc>
          <w:tcPr>
            <w:tcW w:w="1730" w:type="dxa"/>
            <w:noWrap/>
            <w:hideMark/>
          </w:tcPr>
          <w:p w:rsidR="00AA4D73" w:rsidRPr="009A161C" w:rsidRDefault="00AA4D73" w:rsidP="00B91E56">
            <w:proofErr w:type="spellStart"/>
            <w:r w:rsidRPr="009A161C">
              <w:t>Neslspruit</w:t>
            </w:r>
            <w:proofErr w:type="spellEnd"/>
          </w:p>
        </w:tc>
        <w:tc>
          <w:tcPr>
            <w:tcW w:w="1464" w:type="dxa"/>
            <w:vAlign w:val="bottom"/>
          </w:tcPr>
          <w:p w:rsidR="00AA4D73" w:rsidRDefault="00AA4D73">
            <w:pPr>
              <w:jc w:val="right"/>
              <w:rPr>
                <w:rFonts w:ascii="Arial" w:hAnsi="Arial" w:cs="Arial"/>
                <w:sz w:val="16"/>
                <w:szCs w:val="16"/>
              </w:rPr>
            </w:pPr>
            <w:r>
              <w:rPr>
                <w:rFonts w:ascii="Arial" w:hAnsi="Arial" w:cs="Arial"/>
                <w:sz w:val="16"/>
                <w:szCs w:val="16"/>
              </w:rPr>
              <w:t>150</w:t>
            </w:r>
          </w:p>
        </w:tc>
        <w:tc>
          <w:tcPr>
            <w:tcW w:w="1352" w:type="dxa"/>
            <w:vAlign w:val="bottom"/>
          </w:tcPr>
          <w:p w:rsidR="00AA4D73" w:rsidRDefault="00AA4D73">
            <w:pPr>
              <w:jc w:val="right"/>
              <w:rPr>
                <w:rFonts w:ascii="Arial" w:hAnsi="Arial" w:cs="Arial"/>
                <w:sz w:val="16"/>
                <w:szCs w:val="16"/>
              </w:rPr>
            </w:pPr>
            <w:r>
              <w:rPr>
                <w:rFonts w:ascii="Arial" w:hAnsi="Arial" w:cs="Arial"/>
                <w:sz w:val="16"/>
                <w:szCs w:val="16"/>
              </w:rPr>
              <w:t>220</w:t>
            </w:r>
          </w:p>
        </w:tc>
        <w:tc>
          <w:tcPr>
            <w:tcW w:w="1705" w:type="dxa"/>
            <w:noWrap/>
            <w:vAlign w:val="bottom"/>
            <w:hideMark/>
          </w:tcPr>
          <w:p w:rsidR="00AA4D73" w:rsidRDefault="00AA4D73">
            <w:pPr>
              <w:jc w:val="right"/>
              <w:rPr>
                <w:rFonts w:ascii="Arial" w:hAnsi="Arial" w:cs="Arial"/>
                <w:sz w:val="16"/>
                <w:szCs w:val="16"/>
              </w:rPr>
            </w:pPr>
            <w:r>
              <w:rPr>
                <w:rFonts w:ascii="Arial" w:hAnsi="Arial" w:cs="Arial"/>
                <w:sz w:val="16"/>
                <w:szCs w:val="16"/>
              </w:rPr>
              <w:t>350</w:t>
            </w:r>
          </w:p>
        </w:tc>
        <w:tc>
          <w:tcPr>
            <w:tcW w:w="1458" w:type="dxa"/>
            <w:vAlign w:val="bottom"/>
          </w:tcPr>
          <w:p w:rsidR="00AA4D73" w:rsidRDefault="00AA4D73">
            <w:pPr>
              <w:jc w:val="right"/>
              <w:rPr>
                <w:rFonts w:ascii="Arial" w:hAnsi="Arial" w:cs="Arial"/>
                <w:sz w:val="16"/>
                <w:szCs w:val="16"/>
              </w:rPr>
            </w:pPr>
            <w:r>
              <w:rPr>
                <w:rFonts w:ascii="Arial" w:hAnsi="Arial" w:cs="Arial"/>
                <w:sz w:val="16"/>
                <w:szCs w:val="16"/>
              </w:rPr>
              <w:t>350</w:t>
            </w:r>
          </w:p>
        </w:tc>
      </w:tr>
      <w:tr w:rsidR="00AA4D73" w:rsidRPr="009A161C" w:rsidTr="00B91E56">
        <w:trPr>
          <w:trHeight w:val="225"/>
        </w:trPr>
        <w:tc>
          <w:tcPr>
            <w:tcW w:w="1730" w:type="dxa"/>
            <w:noWrap/>
            <w:hideMark/>
          </w:tcPr>
          <w:p w:rsidR="00AA4D73" w:rsidRPr="009A161C" w:rsidRDefault="00AA4D73" w:rsidP="00B91E56">
            <w:r w:rsidRPr="009A161C">
              <w:t>PE/EL</w:t>
            </w:r>
          </w:p>
        </w:tc>
        <w:tc>
          <w:tcPr>
            <w:tcW w:w="1464" w:type="dxa"/>
            <w:vAlign w:val="bottom"/>
          </w:tcPr>
          <w:p w:rsidR="00AA4D73" w:rsidRDefault="00AA4D73">
            <w:pPr>
              <w:jc w:val="right"/>
              <w:rPr>
                <w:rFonts w:ascii="Arial" w:hAnsi="Arial" w:cs="Arial"/>
                <w:sz w:val="16"/>
                <w:szCs w:val="16"/>
              </w:rPr>
            </w:pPr>
            <w:r>
              <w:rPr>
                <w:rFonts w:ascii="Arial" w:hAnsi="Arial" w:cs="Arial"/>
                <w:sz w:val="16"/>
                <w:szCs w:val="16"/>
              </w:rPr>
              <w:t>146</w:t>
            </w:r>
          </w:p>
        </w:tc>
        <w:tc>
          <w:tcPr>
            <w:tcW w:w="1352" w:type="dxa"/>
            <w:vAlign w:val="bottom"/>
          </w:tcPr>
          <w:p w:rsidR="00AA4D73" w:rsidRDefault="00AA4D73">
            <w:pPr>
              <w:jc w:val="right"/>
              <w:rPr>
                <w:rFonts w:ascii="Arial" w:hAnsi="Arial" w:cs="Arial"/>
                <w:sz w:val="16"/>
                <w:szCs w:val="16"/>
              </w:rPr>
            </w:pPr>
            <w:r>
              <w:rPr>
                <w:rFonts w:ascii="Arial" w:hAnsi="Arial" w:cs="Arial"/>
                <w:sz w:val="16"/>
                <w:szCs w:val="16"/>
              </w:rPr>
              <w:t>200</w:t>
            </w:r>
          </w:p>
        </w:tc>
        <w:tc>
          <w:tcPr>
            <w:tcW w:w="1705" w:type="dxa"/>
            <w:noWrap/>
            <w:vAlign w:val="bottom"/>
            <w:hideMark/>
          </w:tcPr>
          <w:p w:rsidR="00AA4D73" w:rsidRDefault="00AA4D73">
            <w:pPr>
              <w:jc w:val="right"/>
              <w:rPr>
                <w:rFonts w:ascii="Arial" w:hAnsi="Arial" w:cs="Arial"/>
                <w:sz w:val="16"/>
                <w:szCs w:val="16"/>
              </w:rPr>
            </w:pPr>
            <w:r>
              <w:rPr>
                <w:rFonts w:ascii="Arial" w:hAnsi="Arial" w:cs="Arial"/>
                <w:sz w:val="16"/>
                <w:szCs w:val="16"/>
              </w:rPr>
              <w:t>257</w:t>
            </w:r>
          </w:p>
        </w:tc>
        <w:tc>
          <w:tcPr>
            <w:tcW w:w="1458" w:type="dxa"/>
            <w:vAlign w:val="bottom"/>
          </w:tcPr>
          <w:p w:rsidR="00AA4D73" w:rsidRDefault="00AA4D73">
            <w:pPr>
              <w:jc w:val="right"/>
              <w:rPr>
                <w:rFonts w:ascii="Arial" w:hAnsi="Arial" w:cs="Arial"/>
                <w:sz w:val="16"/>
                <w:szCs w:val="16"/>
              </w:rPr>
            </w:pPr>
            <w:r>
              <w:rPr>
                <w:rFonts w:ascii="Arial" w:hAnsi="Arial" w:cs="Arial"/>
                <w:sz w:val="16"/>
                <w:szCs w:val="16"/>
              </w:rPr>
              <w:t>500</w:t>
            </w:r>
          </w:p>
        </w:tc>
      </w:tr>
      <w:tr w:rsidR="00AA4D73" w:rsidRPr="009A161C" w:rsidTr="00B91E56">
        <w:trPr>
          <w:trHeight w:val="225"/>
        </w:trPr>
        <w:tc>
          <w:tcPr>
            <w:tcW w:w="1730" w:type="dxa"/>
            <w:noWrap/>
            <w:hideMark/>
          </w:tcPr>
          <w:p w:rsidR="00AA4D73" w:rsidRPr="009A161C" w:rsidRDefault="00AA4D73" w:rsidP="00B91E56">
            <w:r w:rsidRPr="009A161C">
              <w:t>Pietermaritzburg</w:t>
            </w:r>
          </w:p>
        </w:tc>
        <w:tc>
          <w:tcPr>
            <w:tcW w:w="1464" w:type="dxa"/>
            <w:vAlign w:val="bottom"/>
          </w:tcPr>
          <w:p w:rsidR="00AA4D73" w:rsidRDefault="00AA4D73">
            <w:pPr>
              <w:jc w:val="right"/>
              <w:rPr>
                <w:rFonts w:ascii="Arial" w:hAnsi="Arial" w:cs="Arial"/>
                <w:sz w:val="16"/>
                <w:szCs w:val="16"/>
              </w:rPr>
            </w:pPr>
            <w:r>
              <w:rPr>
                <w:rFonts w:ascii="Arial" w:hAnsi="Arial" w:cs="Arial"/>
                <w:sz w:val="16"/>
                <w:szCs w:val="16"/>
              </w:rPr>
              <w:t>100</w:t>
            </w:r>
          </w:p>
        </w:tc>
        <w:tc>
          <w:tcPr>
            <w:tcW w:w="1352" w:type="dxa"/>
            <w:vAlign w:val="bottom"/>
          </w:tcPr>
          <w:p w:rsidR="00AA4D73" w:rsidRDefault="00AA4D73">
            <w:pPr>
              <w:jc w:val="right"/>
              <w:rPr>
                <w:rFonts w:ascii="Arial" w:hAnsi="Arial" w:cs="Arial"/>
                <w:sz w:val="16"/>
                <w:szCs w:val="16"/>
              </w:rPr>
            </w:pPr>
            <w:r>
              <w:rPr>
                <w:rFonts w:ascii="Arial" w:hAnsi="Arial" w:cs="Arial"/>
                <w:sz w:val="16"/>
                <w:szCs w:val="16"/>
              </w:rPr>
              <w:t>125</w:t>
            </w:r>
          </w:p>
        </w:tc>
        <w:tc>
          <w:tcPr>
            <w:tcW w:w="1705" w:type="dxa"/>
            <w:noWrap/>
            <w:vAlign w:val="bottom"/>
            <w:hideMark/>
          </w:tcPr>
          <w:p w:rsidR="00AA4D73" w:rsidRDefault="00AA4D73">
            <w:pPr>
              <w:jc w:val="right"/>
              <w:rPr>
                <w:rFonts w:ascii="Arial" w:hAnsi="Arial" w:cs="Arial"/>
                <w:sz w:val="16"/>
                <w:szCs w:val="16"/>
              </w:rPr>
            </w:pPr>
            <w:r>
              <w:rPr>
                <w:rFonts w:ascii="Arial" w:hAnsi="Arial" w:cs="Arial"/>
                <w:sz w:val="16"/>
                <w:szCs w:val="16"/>
              </w:rPr>
              <w:t>207</w:t>
            </w:r>
          </w:p>
        </w:tc>
        <w:tc>
          <w:tcPr>
            <w:tcW w:w="1458" w:type="dxa"/>
            <w:vAlign w:val="bottom"/>
          </w:tcPr>
          <w:p w:rsidR="00AA4D73" w:rsidRDefault="00AA4D73">
            <w:pPr>
              <w:jc w:val="right"/>
              <w:rPr>
                <w:rFonts w:ascii="Arial" w:hAnsi="Arial" w:cs="Arial"/>
                <w:sz w:val="16"/>
                <w:szCs w:val="16"/>
              </w:rPr>
            </w:pPr>
            <w:r>
              <w:rPr>
                <w:rFonts w:ascii="Arial" w:hAnsi="Arial" w:cs="Arial"/>
                <w:sz w:val="16"/>
                <w:szCs w:val="16"/>
              </w:rPr>
              <w:t>350</w:t>
            </w:r>
          </w:p>
        </w:tc>
      </w:tr>
      <w:tr w:rsidR="00AA4D73" w:rsidRPr="009A161C" w:rsidTr="00B91E56">
        <w:trPr>
          <w:trHeight w:val="225"/>
        </w:trPr>
        <w:tc>
          <w:tcPr>
            <w:tcW w:w="1730" w:type="dxa"/>
            <w:noWrap/>
            <w:hideMark/>
          </w:tcPr>
          <w:p w:rsidR="00AA4D73" w:rsidRPr="009A161C" w:rsidRDefault="00AA4D73" w:rsidP="00B91E56">
            <w:proofErr w:type="spellStart"/>
            <w:r w:rsidRPr="009A161C">
              <w:t>Polokwane</w:t>
            </w:r>
            <w:proofErr w:type="spellEnd"/>
          </w:p>
        </w:tc>
        <w:tc>
          <w:tcPr>
            <w:tcW w:w="1464" w:type="dxa"/>
            <w:vAlign w:val="bottom"/>
          </w:tcPr>
          <w:p w:rsidR="00AA4D73" w:rsidRDefault="00AA4D73">
            <w:pPr>
              <w:jc w:val="right"/>
              <w:rPr>
                <w:rFonts w:ascii="Arial" w:hAnsi="Arial" w:cs="Arial"/>
                <w:sz w:val="16"/>
                <w:szCs w:val="16"/>
              </w:rPr>
            </w:pPr>
            <w:r>
              <w:rPr>
                <w:rFonts w:ascii="Arial" w:hAnsi="Arial" w:cs="Arial"/>
                <w:sz w:val="16"/>
                <w:szCs w:val="16"/>
              </w:rPr>
              <w:t>300</w:t>
            </w:r>
          </w:p>
        </w:tc>
        <w:tc>
          <w:tcPr>
            <w:tcW w:w="1352" w:type="dxa"/>
            <w:vAlign w:val="bottom"/>
          </w:tcPr>
          <w:p w:rsidR="00AA4D73" w:rsidRDefault="00AA4D73">
            <w:pPr>
              <w:jc w:val="right"/>
              <w:rPr>
                <w:rFonts w:ascii="Arial" w:hAnsi="Arial" w:cs="Arial"/>
                <w:sz w:val="16"/>
                <w:szCs w:val="16"/>
              </w:rPr>
            </w:pPr>
            <w:r>
              <w:rPr>
                <w:rFonts w:ascii="Arial" w:hAnsi="Arial" w:cs="Arial"/>
                <w:sz w:val="16"/>
                <w:szCs w:val="16"/>
              </w:rPr>
              <w:t>325</w:t>
            </w:r>
          </w:p>
        </w:tc>
        <w:tc>
          <w:tcPr>
            <w:tcW w:w="1705" w:type="dxa"/>
            <w:noWrap/>
            <w:vAlign w:val="bottom"/>
            <w:hideMark/>
          </w:tcPr>
          <w:p w:rsidR="00AA4D73" w:rsidRDefault="00AA4D73">
            <w:pPr>
              <w:jc w:val="right"/>
              <w:rPr>
                <w:rFonts w:ascii="Arial" w:hAnsi="Arial" w:cs="Arial"/>
                <w:sz w:val="16"/>
                <w:szCs w:val="16"/>
              </w:rPr>
            </w:pPr>
            <w:r>
              <w:rPr>
                <w:rFonts w:ascii="Arial" w:hAnsi="Arial" w:cs="Arial"/>
                <w:sz w:val="16"/>
                <w:szCs w:val="16"/>
              </w:rPr>
              <w:t>350</w:t>
            </w:r>
          </w:p>
        </w:tc>
        <w:tc>
          <w:tcPr>
            <w:tcW w:w="1458" w:type="dxa"/>
            <w:vAlign w:val="bottom"/>
          </w:tcPr>
          <w:p w:rsidR="00AA4D73" w:rsidRDefault="00AA4D73">
            <w:pPr>
              <w:jc w:val="right"/>
              <w:rPr>
                <w:rFonts w:ascii="Arial" w:hAnsi="Arial" w:cs="Arial"/>
                <w:sz w:val="16"/>
                <w:szCs w:val="16"/>
              </w:rPr>
            </w:pPr>
            <w:r>
              <w:rPr>
                <w:rFonts w:ascii="Arial" w:hAnsi="Arial" w:cs="Arial"/>
                <w:sz w:val="16"/>
                <w:szCs w:val="16"/>
              </w:rPr>
              <w:t>650</w:t>
            </w:r>
          </w:p>
        </w:tc>
      </w:tr>
      <w:tr w:rsidR="00AA4D73" w:rsidRPr="009A161C" w:rsidTr="00B91E56">
        <w:trPr>
          <w:trHeight w:val="225"/>
        </w:trPr>
        <w:tc>
          <w:tcPr>
            <w:tcW w:w="1730" w:type="dxa"/>
            <w:noWrap/>
            <w:hideMark/>
          </w:tcPr>
          <w:p w:rsidR="00AA4D73" w:rsidRPr="009A161C" w:rsidRDefault="00AA4D73" w:rsidP="00B91E56">
            <w:r w:rsidRPr="009A161C">
              <w:t>Potchefstroom</w:t>
            </w:r>
          </w:p>
        </w:tc>
        <w:tc>
          <w:tcPr>
            <w:tcW w:w="1464" w:type="dxa"/>
            <w:vAlign w:val="bottom"/>
          </w:tcPr>
          <w:p w:rsidR="00AA4D73" w:rsidRDefault="00AA4D73">
            <w:pPr>
              <w:jc w:val="right"/>
              <w:rPr>
                <w:rFonts w:ascii="Arial" w:hAnsi="Arial" w:cs="Arial"/>
                <w:sz w:val="16"/>
                <w:szCs w:val="16"/>
              </w:rPr>
            </w:pPr>
            <w:r>
              <w:rPr>
                <w:rFonts w:ascii="Arial" w:hAnsi="Arial" w:cs="Arial"/>
                <w:sz w:val="16"/>
                <w:szCs w:val="16"/>
              </w:rPr>
              <w:t>150</w:t>
            </w:r>
          </w:p>
        </w:tc>
        <w:tc>
          <w:tcPr>
            <w:tcW w:w="1352" w:type="dxa"/>
            <w:vAlign w:val="bottom"/>
          </w:tcPr>
          <w:p w:rsidR="00AA4D73" w:rsidRDefault="00AA4D73">
            <w:pPr>
              <w:jc w:val="right"/>
              <w:rPr>
                <w:rFonts w:ascii="Arial" w:hAnsi="Arial" w:cs="Arial"/>
                <w:sz w:val="16"/>
                <w:szCs w:val="16"/>
              </w:rPr>
            </w:pPr>
            <w:r>
              <w:rPr>
                <w:rFonts w:ascii="Arial" w:hAnsi="Arial" w:cs="Arial"/>
                <w:sz w:val="16"/>
                <w:szCs w:val="16"/>
              </w:rPr>
              <w:t>200</w:t>
            </w:r>
          </w:p>
        </w:tc>
        <w:tc>
          <w:tcPr>
            <w:tcW w:w="1705" w:type="dxa"/>
            <w:noWrap/>
            <w:vAlign w:val="bottom"/>
            <w:hideMark/>
          </w:tcPr>
          <w:p w:rsidR="00AA4D73" w:rsidRDefault="00AA4D73">
            <w:pPr>
              <w:jc w:val="right"/>
              <w:rPr>
                <w:rFonts w:ascii="Arial" w:hAnsi="Arial" w:cs="Arial"/>
                <w:sz w:val="16"/>
                <w:szCs w:val="16"/>
              </w:rPr>
            </w:pPr>
            <w:r>
              <w:rPr>
                <w:rFonts w:ascii="Arial" w:hAnsi="Arial" w:cs="Arial"/>
                <w:sz w:val="16"/>
                <w:szCs w:val="16"/>
              </w:rPr>
              <w:t>250</w:t>
            </w:r>
          </w:p>
        </w:tc>
        <w:tc>
          <w:tcPr>
            <w:tcW w:w="1458" w:type="dxa"/>
            <w:vAlign w:val="bottom"/>
          </w:tcPr>
          <w:p w:rsidR="00AA4D73" w:rsidRDefault="00AA4D73">
            <w:pPr>
              <w:jc w:val="right"/>
              <w:rPr>
                <w:rFonts w:ascii="Arial" w:hAnsi="Arial" w:cs="Arial"/>
                <w:sz w:val="16"/>
                <w:szCs w:val="16"/>
              </w:rPr>
            </w:pPr>
            <w:r>
              <w:rPr>
                <w:rFonts w:ascii="Arial" w:hAnsi="Arial" w:cs="Arial"/>
                <w:sz w:val="16"/>
                <w:szCs w:val="16"/>
              </w:rPr>
              <w:t>350</w:t>
            </w:r>
          </w:p>
        </w:tc>
      </w:tr>
      <w:tr w:rsidR="00AA4D73" w:rsidRPr="009A161C" w:rsidTr="00B91E56">
        <w:trPr>
          <w:trHeight w:val="225"/>
        </w:trPr>
        <w:tc>
          <w:tcPr>
            <w:tcW w:w="1730" w:type="dxa"/>
            <w:noWrap/>
            <w:hideMark/>
          </w:tcPr>
          <w:p w:rsidR="00AA4D73" w:rsidRPr="009A161C" w:rsidRDefault="00AA4D73" w:rsidP="00B91E56">
            <w:r w:rsidRPr="009A161C">
              <w:t>Pretoria</w:t>
            </w:r>
          </w:p>
        </w:tc>
        <w:tc>
          <w:tcPr>
            <w:tcW w:w="1464" w:type="dxa"/>
            <w:vAlign w:val="bottom"/>
          </w:tcPr>
          <w:p w:rsidR="00AA4D73" w:rsidRDefault="00AA4D73">
            <w:pPr>
              <w:jc w:val="right"/>
              <w:rPr>
                <w:rFonts w:ascii="Arial" w:hAnsi="Arial" w:cs="Arial"/>
                <w:sz w:val="16"/>
                <w:szCs w:val="16"/>
              </w:rPr>
            </w:pPr>
            <w:r>
              <w:rPr>
                <w:rFonts w:ascii="Arial" w:hAnsi="Arial" w:cs="Arial"/>
                <w:sz w:val="16"/>
                <w:szCs w:val="16"/>
              </w:rPr>
              <w:t>123</w:t>
            </w:r>
          </w:p>
        </w:tc>
        <w:tc>
          <w:tcPr>
            <w:tcW w:w="1352" w:type="dxa"/>
            <w:vAlign w:val="bottom"/>
          </w:tcPr>
          <w:p w:rsidR="00AA4D73" w:rsidRDefault="00AA4D73">
            <w:pPr>
              <w:jc w:val="right"/>
              <w:rPr>
                <w:rFonts w:ascii="Arial" w:hAnsi="Arial" w:cs="Arial"/>
                <w:sz w:val="16"/>
                <w:szCs w:val="16"/>
              </w:rPr>
            </w:pPr>
            <w:r>
              <w:rPr>
                <w:rFonts w:ascii="Arial" w:hAnsi="Arial" w:cs="Arial"/>
                <w:sz w:val="16"/>
                <w:szCs w:val="16"/>
              </w:rPr>
              <w:t>250</w:t>
            </w:r>
          </w:p>
        </w:tc>
        <w:tc>
          <w:tcPr>
            <w:tcW w:w="1705" w:type="dxa"/>
            <w:noWrap/>
            <w:vAlign w:val="bottom"/>
            <w:hideMark/>
          </w:tcPr>
          <w:p w:rsidR="00AA4D73" w:rsidRDefault="00AA4D73">
            <w:pPr>
              <w:jc w:val="right"/>
              <w:rPr>
                <w:rFonts w:ascii="Arial" w:hAnsi="Arial" w:cs="Arial"/>
                <w:sz w:val="16"/>
                <w:szCs w:val="16"/>
              </w:rPr>
            </w:pPr>
            <w:r>
              <w:rPr>
                <w:rFonts w:ascii="Arial" w:hAnsi="Arial" w:cs="Arial"/>
                <w:sz w:val="16"/>
                <w:szCs w:val="16"/>
              </w:rPr>
              <w:t>300</w:t>
            </w:r>
          </w:p>
        </w:tc>
        <w:tc>
          <w:tcPr>
            <w:tcW w:w="1458" w:type="dxa"/>
            <w:vAlign w:val="bottom"/>
          </w:tcPr>
          <w:p w:rsidR="00AA4D73" w:rsidRDefault="00AA4D73">
            <w:pPr>
              <w:jc w:val="right"/>
              <w:rPr>
                <w:rFonts w:ascii="Arial" w:hAnsi="Arial" w:cs="Arial"/>
                <w:sz w:val="16"/>
                <w:szCs w:val="16"/>
              </w:rPr>
            </w:pPr>
            <w:r>
              <w:rPr>
                <w:rFonts w:ascii="Arial" w:hAnsi="Arial" w:cs="Arial"/>
                <w:sz w:val="16"/>
                <w:szCs w:val="16"/>
              </w:rPr>
              <w:t>550</w:t>
            </w:r>
          </w:p>
        </w:tc>
      </w:tr>
    </w:tbl>
    <w:p w:rsidR="00FB1EE7" w:rsidRDefault="00FB1EE7"/>
    <w:p w:rsidR="00AA4D73" w:rsidRDefault="00AA4D73"/>
    <w:p w:rsidR="00B91E56" w:rsidRDefault="00B91E56">
      <w:pPr>
        <w:rPr>
          <w:b/>
        </w:rPr>
      </w:pPr>
      <w:r>
        <w:rPr>
          <w:b/>
        </w:rPr>
        <w:t>Deeds Office Search Recovery</w:t>
      </w:r>
    </w:p>
    <w:p w:rsidR="00430797" w:rsidRPr="00B91E56" w:rsidRDefault="00430797">
      <w:pPr>
        <w:rPr>
          <w:b/>
        </w:rPr>
      </w:pPr>
    </w:p>
    <w:p w:rsidR="00FB1EE7" w:rsidRDefault="00FB1EE7">
      <w:r w:rsidRPr="00FB1EE7">
        <w:lastRenderedPageBreak/>
        <w:drawing>
          <wp:inline distT="0" distB="0" distL="0" distR="0">
            <wp:extent cx="5572125" cy="2962275"/>
            <wp:effectExtent l="19050" t="0" r="9525" b="0"/>
            <wp:docPr id="3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1EE7" w:rsidRDefault="00FB1EE7"/>
    <w:tbl>
      <w:tblPr>
        <w:tblStyle w:val="TableGrid"/>
        <w:tblW w:w="7709" w:type="dxa"/>
        <w:tblInd w:w="665" w:type="dxa"/>
        <w:tblLook w:val="04A0"/>
      </w:tblPr>
      <w:tblGrid>
        <w:gridCol w:w="1730"/>
        <w:gridCol w:w="1464"/>
        <w:gridCol w:w="1352"/>
        <w:gridCol w:w="1705"/>
        <w:gridCol w:w="1458"/>
      </w:tblGrid>
      <w:tr w:rsidR="00AA4D73" w:rsidRPr="009A161C" w:rsidTr="00B91E56">
        <w:trPr>
          <w:trHeight w:val="225"/>
        </w:trPr>
        <w:tc>
          <w:tcPr>
            <w:tcW w:w="7709" w:type="dxa"/>
            <w:gridSpan w:val="5"/>
            <w:noWrap/>
            <w:hideMark/>
          </w:tcPr>
          <w:p w:rsidR="00AA4D73" w:rsidRPr="009A161C" w:rsidRDefault="00AA4D73" w:rsidP="00B91E56">
            <w:pPr>
              <w:jc w:val="center"/>
              <w:rPr>
                <w:b/>
                <w:bCs/>
              </w:rPr>
            </w:pPr>
            <w:r>
              <w:rPr>
                <w:b/>
                <w:bCs/>
              </w:rPr>
              <w:t>Deeds Office Search Recovery</w:t>
            </w:r>
          </w:p>
        </w:tc>
      </w:tr>
      <w:tr w:rsidR="00AA4D73" w:rsidRPr="009A161C" w:rsidTr="00B91E56">
        <w:trPr>
          <w:trHeight w:val="225"/>
        </w:trPr>
        <w:tc>
          <w:tcPr>
            <w:tcW w:w="1730" w:type="dxa"/>
            <w:noWrap/>
            <w:hideMark/>
          </w:tcPr>
          <w:p w:rsidR="00AA4D73" w:rsidRPr="009A161C" w:rsidRDefault="00AA4D73" w:rsidP="00B91E56">
            <w:pPr>
              <w:rPr>
                <w:b/>
                <w:bCs/>
              </w:rPr>
            </w:pPr>
          </w:p>
        </w:tc>
        <w:tc>
          <w:tcPr>
            <w:tcW w:w="1464" w:type="dxa"/>
          </w:tcPr>
          <w:p w:rsidR="00AA4D73" w:rsidRPr="009A161C" w:rsidRDefault="00AA4D73" w:rsidP="00B91E56">
            <w:pPr>
              <w:rPr>
                <w:b/>
                <w:bCs/>
              </w:rPr>
            </w:pPr>
            <w:r w:rsidRPr="009A161C">
              <w:rPr>
                <w:b/>
                <w:bCs/>
              </w:rPr>
              <w:t>Lower 1/4</w:t>
            </w:r>
          </w:p>
        </w:tc>
        <w:tc>
          <w:tcPr>
            <w:tcW w:w="1352" w:type="dxa"/>
          </w:tcPr>
          <w:p w:rsidR="00AA4D73" w:rsidRPr="009A161C" w:rsidRDefault="00AA4D73" w:rsidP="00B91E56">
            <w:pPr>
              <w:rPr>
                <w:b/>
                <w:bCs/>
              </w:rPr>
            </w:pPr>
            <w:r w:rsidRPr="009A161C">
              <w:rPr>
                <w:b/>
                <w:bCs/>
              </w:rPr>
              <w:t>Median</w:t>
            </w:r>
          </w:p>
        </w:tc>
        <w:tc>
          <w:tcPr>
            <w:tcW w:w="1705" w:type="dxa"/>
            <w:noWrap/>
            <w:hideMark/>
          </w:tcPr>
          <w:p w:rsidR="00AA4D73" w:rsidRPr="009A161C" w:rsidRDefault="00AA4D73" w:rsidP="00B91E56">
            <w:pPr>
              <w:rPr>
                <w:b/>
                <w:bCs/>
              </w:rPr>
            </w:pPr>
            <w:r w:rsidRPr="009A161C">
              <w:rPr>
                <w:b/>
                <w:bCs/>
              </w:rPr>
              <w:t>Three quarter</w:t>
            </w:r>
          </w:p>
        </w:tc>
        <w:tc>
          <w:tcPr>
            <w:tcW w:w="1458" w:type="dxa"/>
          </w:tcPr>
          <w:p w:rsidR="00AA4D73" w:rsidRPr="009A161C" w:rsidRDefault="00AA4D73" w:rsidP="00B91E56">
            <w:pPr>
              <w:rPr>
                <w:b/>
                <w:bCs/>
              </w:rPr>
            </w:pPr>
            <w:r w:rsidRPr="009A161C">
              <w:rPr>
                <w:b/>
                <w:bCs/>
              </w:rPr>
              <w:t>High</w:t>
            </w:r>
          </w:p>
        </w:tc>
      </w:tr>
      <w:tr w:rsidR="00AA4D73" w:rsidRPr="009A161C" w:rsidTr="00B91E56">
        <w:trPr>
          <w:trHeight w:val="225"/>
        </w:trPr>
        <w:tc>
          <w:tcPr>
            <w:tcW w:w="1730" w:type="dxa"/>
            <w:noWrap/>
            <w:hideMark/>
          </w:tcPr>
          <w:p w:rsidR="00AA4D73" w:rsidRPr="009A161C" w:rsidRDefault="00AA4D73" w:rsidP="00B91E56">
            <w:r w:rsidRPr="009A161C">
              <w:t>National Average</w:t>
            </w:r>
          </w:p>
        </w:tc>
        <w:tc>
          <w:tcPr>
            <w:tcW w:w="1464" w:type="dxa"/>
            <w:vAlign w:val="bottom"/>
          </w:tcPr>
          <w:p w:rsidR="00AA4D73" w:rsidRDefault="00AA4D73" w:rsidP="00B91E56">
            <w:pPr>
              <w:jc w:val="right"/>
              <w:rPr>
                <w:rFonts w:ascii="Arial" w:hAnsi="Arial" w:cs="Arial"/>
                <w:sz w:val="16"/>
                <w:szCs w:val="16"/>
              </w:rPr>
            </w:pPr>
            <w:r>
              <w:rPr>
                <w:rFonts w:ascii="Arial" w:hAnsi="Arial" w:cs="Arial"/>
                <w:sz w:val="16"/>
                <w:szCs w:val="16"/>
              </w:rPr>
              <w:t>125</w:t>
            </w:r>
          </w:p>
        </w:tc>
        <w:tc>
          <w:tcPr>
            <w:tcW w:w="1352" w:type="dxa"/>
            <w:vAlign w:val="bottom"/>
          </w:tcPr>
          <w:p w:rsidR="00AA4D73" w:rsidRDefault="00AA4D73" w:rsidP="00B91E56">
            <w:pPr>
              <w:jc w:val="right"/>
              <w:rPr>
                <w:rFonts w:ascii="Arial" w:hAnsi="Arial" w:cs="Arial"/>
                <w:sz w:val="16"/>
                <w:szCs w:val="16"/>
              </w:rPr>
            </w:pPr>
            <w:r>
              <w:rPr>
                <w:rFonts w:ascii="Arial" w:hAnsi="Arial" w:cs="Arial"/>
                <w:sz w:val="16"/>
                <w:szCs w:val="16"/>
              </w:rPr>
              <w:t>200</w:t>
            </w:r>
          </w:p>
        </w:tc>
        <w:tc>
          <w:tcPr>
            <w:tcW w:w="1705" w:type="dxa"/>
            <w:noWrap/>
            <w:vAlign w:val="bottom"/>
            <w:hideMark/>
          </w:tcPr>
          <w:p w:rsidR="00AA4D73" w:rsidRDefault="00AA4D73" w:rsidP="00B91E56">
            <w:pPr>
              <w:jc w:val="right"/>
              <w:rPr>
                <w:rFonts w:ascii="Arial" w:hAnsi="Arial" w:cs="Arial"/>
                <w:sz w:val="16"/>
                <w:szCs w:val="16"/>
              </w:rPr>
            </w:pPr>
            <w:r>
              <w:rPr>
                <w:rFonts w:ascii="Arial" w:hAnsi="Arial" w:cs="Arial"/>
                <w:sz w:val="16"/>
                <w:szCs w:val="16"/>
              </w:rPr>
              <w:t>285</w:t>
            </w:r>
          </w:p>
        </w:tc>
        <w:tc>
          <w:tcPr>
            <w:tcW w:w="1458" w:type="dxa"/>
            <w:vAlign w:val="bottom"/>
          </w:tcPr>
          <w:p w:rsidR="00AA4D73" w:rsidRDefault="00AA4D73" w:rsidP="00B91E56">
            <w:pPr>
              <w:jc w:val="right"/>
              <w:rPr>
                <w:rFonts w:ascii="Arial" w:hAnsi="Arial" w:cs="Arial"/>
                <w:sz w:val="16"/>
                <w:szCs w:val="16"/>
              </w:rPr>
            </w:pPr>
            <w:r>
              <w:rPr>
                <w:rFonts w:ascii="Arial" w:hAnsi="Arial" w:cs="Arial"/>
                <w:sz w:val="16"/>
                <w:szCs w:val="16"/>
              </w:rPr>
              <w:t>925</w:t>
            </w:r>
          </w:p>
        </w:tc>
      </w:tr>
      <w:tr w:rsidR="00AA4D73" w:rsidRPr="009A161C" w:rsidTr="00B91E56">
        <w:trPr>
          <w:trHeight w:val="225"/>
        </w:trPr>
        <w:tc>
          <w:tcPr>
            <w:tcW w:w="1730" w:type="dxa"/>
            <w:noWrap/>
            <w:hideMark/>
          </w:tcPr>
          <w:p w:rsidR="00AA4D73" w:rsidRPr="009A161C" w:rsidRDefault="00AA4D73" w:rsidP="00B91E56">
            <w:r w:rsidRPr="009A161C">
              <w:t>Bloemfontein</w:t>
            </w:r>
          </w:p>
        </w:tc>
        <w:tc>
          <w:tcPr>
            <w:tcW w:w="1464" w:type="dxa"/>
            <w:vAlign w:val="bottom"/>
          </w:tcPr>
          <w:p w:rsidR="00AA4D73" w:rsidRDefault="00AA4D73" w:rsidP="00B91E56">
            <w:pPr>
              <w:jc w:val="right"/>
              <w:rPr>
                <w:rFonts w:ascii="Arial" w:hAnsi="Arial" w:cs="Arial"/>
                <w:sz w:val="16"/>
                <w:szCs w:val="16"/>
              </w:rPr>
            </w:pPr>
            <w:r>
              <w:rPr>
                <w:rFonts w:ascii="Arial" w:hAnsi="Arial" w:cs="Arial"/>
                <w:sz w:val="16"/>
                <w:szCs w:val="16"/>
              </w:rPr>
              <w:t>150</w:t>
            </w:r>
          </w:p>
        </w:tc>
        <w:tc>
          <w:tcPr>
            <w:tcW w:w="1352" w:type="dxa"/>
            <w:vAlign w:val="bottom"/>
          </w:tcPr>
          <w:p w:rsidR="00AA4D73" w:rsidRDefault="00AA4D73" w:rsidP="00B91E56">
            <w:pPr>
              <w:jc w:val="right"/>
              <w:rPr>
                <w:rFonts w:ascii="Arial" w:hAnsi="Arial" w:cs="Arial"/>
                <w:sz w:val="16"/>
                <w:szCs w:val="16"/>
              </w:rPr>
            </w:pPr>
            <w:r>
              <w:rPr>
                <w:rFonts w:ascii="Arial" w:hAnsi="Arial" w:cs="Arial"/>
                <w:sz w:val="16"/>
                <w:szCs w:val="16"/>
              </w:rPr>
              <w:t>180</w:t>
            </w:r>
          </w:p>
        </w:tc>
        <w:tc>
          <w:tcPr>
            <w:tcW w:w="1705" w:type="dxa"/>
            <w:noWrap/>
            <w:vAlign w:val="bottom"/>
            <w:hideMark/>
          </w:tcPr>
          <w:p w:rsidR="00AA4D73" w:rsidRDefault="00AA4D73" w:rsidP="00B91E56">
            <w:pPr>
              <w:jc w:val="right"/>
              <w:rPr>
                <w:rFonts w:ascii="Arial" w:hAnsi="Arial" w:cs="Arial"/>
                <w:sz w:val="16"/>
                <w:szCs w:val="16"/>
              </w:rPr>
            </w:pPr>
            <w:r>
              <w:rPr>
                <w:rFonts w:ascii="Arial" w:hAnsi="Arial" w:cs="Arial"/>
                <w:sz w:val="16"/>
                <w:szCs w:val="16"/>
              </w:rPr>
              <w:t>350</w:t>
            </w:r>
          </w:p>
        </w:tc>
        <w:tc>
          <w:tcPr>
            <w:tcW w:w="1458" w:type="dxa"/>
            <w:vAlign w:val="bottom"/>
          </w:tcPr>
          <w:p w:rsidR="00AA4D73" w:rsidRDefault="00AA4D73" w:rsidP="00B91E56">
            <w:pPr>
              <w:jc w:val="right"/>
              <w:rPr>
                <w:rFonts w:ascii="Arial" w:hAnsi="Arial" w:cs="Arial"/>
                <w:sz w:val="16"/>
                <w:szCs w:val="16"/>
              </w:rPr>
            </w:pPr>
            <w:r>
              <w:rPr>
                <w:rFonts w:ascii="Arial" w:hAnsi="Arial" w:cs="Arial"/>
                <w:sz w:val="16"/>
                <w:szCs w:val="16"/>
              </w:rPr>
              <w:t>800</w:t>
            </w:r>
          </w:p>
        </w:tc>
      </w:tr>
      <w:tr w:rsidR="00AA4D73" w:rsidRPr="009A161C" w:rsidTr="00B91E56">
        <w:trPr>
          <w:trHeight w:val="225"/>
        </w:trPr>
        <w:tc>
          <w:tcPr>
            <w:tcW w:w="1730" w:type="dxa"/>
            <w:noWrap/>
            <w:hideMark/>
          </w:tcPr>
          <w:p w:rsidR="00AA4D73" w:rsidRPr="009A161C" w:rsidRDefault="00AA4D73" w:rsidP="00B91E56">
            <w:r w:rsidRPr="009A161C">
              <w:t>Cape Town</w:t>
            </w:r>
          </w:p>
        </w:tc>
        <w:tc>
          <w:tcPr>
            <w:tcW w:w="1464" w:type="dxa"/>
            <w:vAlign w:val="bottom"/>
          </w:tcPr>
          <w:p w:rsidR="00AA4D73" w:rsidRDefault="00AA4D73" w:rsidP="00B91E56">
            <w:pPr>
              <w:jc w:val="right"/>
              <w:rPr>
                <w:rFonts w:ascii="Arial" w:hAnsi="Arial" w:cs="Arial"/>
                <w:sz w:val="16"/>
                <w:szCs w:val="16"/>
              </w:rPr>
            </w:pPr>
            <w:r>
              <w:rPr>
                <w:rFonts w:ascii="Arial" w:hAnsi="Arial" w:cs="Arial"/>
                <w:sz w:val="16"/>
                <w:szCs w:val="16"/>
              </w:rPr>
              <w:t>350</w:t>
            </w:r>
          </w:p>
        </w:tc>
        <w:tc>
          <w:tcPr>
            <w:tcW w:w="1352" w:type="dxa"/>
            <w:vAlign w:val="bottom"/>
          </w:tcPr>
          <w:p w:rsidR="00AA4D73" w:rsidRDefault="00AA4D73" w:rsidP="00B91E56">
            <w:pPr>
              <w:jc w:val="right"/>
              <w:rPr>
                <w:rFonts w:ascii="Arial" w:hAnsi="Arial" w:cs="Arial"/>
                <w:sz w:val="16"/>
                <w:szCs w:val="16"/>
              </w:rPr>
            </w:pPr>
            <w:r>
              <w:rPr>
                <w:rFonts w:ascii="Arial" w:hAnsi="Arial" w:cs="Arial"/>
                <w:sz w:val="16"/>
                <w:szCs w:val="16"/>
              </w:rPr>
              <w:t>400</w:t>
            </w:r>
          </w:p>
        </w:tc>
        <w:tc>
          <w:tcPr>
            <w:tcW w:w="1705" w:type="dxa"/>
            <w:noWrap/>
            <w:vAlign w:val="bottom"/>
            <w:hideMark/>
          </w:tcPr>
          <w:p w:rsidR="00AA4D73" w:rsidRDefault="00AA4D73" w:rsidP="00B91E56">
            <w:pPr>
              <w:jc w:val="right"/>
              <w:rPr>
                <w:rFonts w:ascii="Arial" w:hAnsi="Arial" w:cs="Arial"/>
                <w:sz w:val="16"/>
                <w:szCs w:val="16"/>
              </w:rPr>
            </w:pPr>
            <w:r>
              <w:rPr>
                <w:rFonts w:ascii="Arial" w:hAnsi="Arial" w:cs="Arial"/>
                <w:sz w:val="16"/>
                <w:szCs w:val="16"/>
              </w:rPr>
              <w:t>450</w:t>
            </w:r>
          </w:p>
        </w:tc>
        <w:tc>
          <w:tcPr>
            <w:tcW w:w="1458" w:type="dxa"/>
            <w:vAlign w:val="bottom"/>
          </w:tcPr>
          <w:p w:rsidR="00AA4D73" w:rsidRDefault="00AA4D73" w:rsidP="00B91E56">
            <w:pPr>
              <w:jc w:val="right"/>
              <w:rPr>
                <w:rFonts w:ascii="Arial" w:hAnsi="Arial" w:cs="Arial"/>
                <w:sz w:val="16"/>
                <w:szCs w:val="16"/>
              </w:rPr>
            </w:pPr>
            <w:r>
              <w:rPr>
                <w:rFonts w:ascii="Arial" w:hAnsi="Arial" w:cs="Arial"/>
                <w:sz w:val="16"/>
                <w:szCs w:val="16"/>
              </w:rPr>
              <w:t>950</w:t>
            </w:r>
          </w:p>
        </w:tc>
      </w:tr>
      <w:tr w:rsidR="00AA4D73" w:rsidRPr="009A161C" w:rsidTr="00B91E56">
        <w:trPr>
          <w:trHeight w:val="225"/>
        </w:trPr>
        <w:tc>
          <w:tcPr>
            <w:tcW w:w="1730" w:type="dxa"/>
            <w:noWrap/>
            <w:hideMark/>
          </w:tcPr>
          <w:p w:rsidR="00AA4D73" w:rsidRPr="009A161C" w:rsidRDefault="00AA4D73" w:rsidP="00B91E56">
            <w:r w:rsidRPr="009A161C">
              <w:t>Durban</w:t>
            </w:r>
          </w:p>
        </w:tc>
        <w:tc>
          <w:tcPr>
            <w:tcW w:w="1464" w:type="dxa"/>
            <w:vAlign w:val="bottom"/>
          </w:tcPr>
          <w:p w:rsidR="00AA4D73" w:rsidRDefault="00AA4D73" w:rsidP="00B91E56">
            <w:pPr>
              <w:jc w:val="right"/>
              <w:rPr>
                <w:rFonts w:ascii="Arial" w:hAnsi="Arial" w:cs="Arial"/>
                <w:sz w:val="16"/>
                <w:szCs w:val="16"/>
              </w:rPr>
            </w:pPr>
            <w:r>
              <w:rPr>
                <w:rFonts w:ascii="Arial" w:hAnsi="Arial" w:cs="Arial"/>
                <w:sz w:val="16"/>
                <w:szCs w:val="16"/>
              </w:rPr>
              <w:t>150</w:t>
            </w:r>
          </w:p>
        </w:tc>
        <w:tc>
          <w:tcPr>
            <w:tcW w:w="1352" w:type="dxa"/>
            <w:vAlign w:val="bottom"/>
          </w:tcPr>
          <w:p w:rsidR="00AA4D73" w:rsidRDefault="00AA4D73" w:rsidP="00B91E56">
            <w:pPr>
              <w:jc w:val="right"/>
              <w:rPr>
                <w:rFonts w:ascii="Arial" w:hAnsi="Arial" w:cs="Arial"/>
                <w:sz w:val="16"/>
                <w:szCs w:val="16"/>
              </w:rPr>
            </w:pPr>
            <w:r>
              <w:rPr>
                <w:rFonts w:ascii="Arial" w:hAnsi="Arial" w:cs="Arial"/>
                <w:sz w:val="16"/>
                <w:szCs w:val="16"/>
              </w:rPr>
              <w:t>200</w:t>
            </w:r>
          </w:p>
        </w:tc>
        <w:tc>
          <w:tcPr>
            <w:tcW w:w="1705" w:type="dxa"/>
            <w:noWrap/>
            <w:vAlign w:val="bottom"/>
            <w:hideMark/>
          </w:tcPr>
          <w:p w:rsidR="00AA4D73" w:rsidRDefault="00AA4D73" w:rsidP="00B91E56">
            <w:pPr>
              <w:jc w:val="right"/>
              <w:rPr>
                <w:rFonts w:ascii="Arial" w:hAnsi="Arial" w:cs="Arial"/>
                <w:sz w:val="16"/>
                <w:szCs w:val="16"/>
              </w:rPr>
            </w:pPr>
            <w:r>
              <w:rPr>
                <w:rFonts w:ascii="Arial" w:hAnsi="Arial" w:cs="Arial"/>
                <w:sz w:val="16"/>
                <w:szCs w:val="16"/>
              </w:rPr>
              <w:t>250</w:t>
            </w:r>
          </w:p>
        </w:tc>
        <w:tc>
          <w:tcPr>
            <w:tcW w:w="1458" w:type="dxa"/>
            <w:vAlign w:val="bottom"/>
          </w:tcPr>
          <w:p w:rsidR="00AA4D73" w:rsidRDefault="00AA4D73" w:rsidP="00B91E56">
            <w:pPr>
              <w:jc w:val="right"/>
              <w:rPr>
                <w:rFonts w:ascii="Arial" w:hAnsi="Arial" w:cs="Arial"/>
                <w:sz w:val="16"/>
                <w:szCs w:val="16"/>
              </w:rPr>
            </w:pPr>
            <w:r>
              <w:rPr>
                <w:rFonts w:ascii="Arial" w:hAnsi="Arial" w:cs="Arial"/>
                <w:sz w:val="16"/>
                <w:szCs w:val="16"/>
              </w:rPr>
              <w:t>500</w:t>
            </w:r>
          </w:p>
        </w:tc>
      </w:tr>
      <w:tr w:rsidR="00AA4D73" w:rsidRPr="009A161C" w:rsidTr="00B91E56">
        <w:trPr>
          <w:trHeight w:val="225"/>
        </w:trPr>
        <w:tc>
          <w:tcPr>
            <w:tcW w:w="1730" w:type="dxa"/>
            <w:noWrap/>
            <w:hideMark/>
          </w:tcPr>
          <w:p w:rsidR="00AA4D73" w:rsidRPr="009A161C" w:rsidRDefault="00AA4D73" w:rsidP="00B91E56">
            <w:proofErr w:type="spellStart"/>
            <w:r w:rsidRPr="009A161C">
              <w:t>Jhb</w:t>
            </w:r>
            <w:proofErr w:type="spellEnd"/>
            <w:r w:rsidRPr="009A161C">
              <w:t xml:space="preserve"> - East</w:t>
            </w:r>
          </w:p>
        </w:tc>
        <w:tc>
          <w:tcPr>
            <w:tcW w:w="1464" w:type="dxa"/>
            <w:vAlign w:val="bottom"/>
          </w:tcPr>
          <w:p w:rsidR="00AA4D73" w:rsidRDefault="00AA4D73" w:rsidP="00B91E56">
            <w:pPr>
              <w:jc w:val="right"/>
              <w:rPr>
                <w:rFonts w:ascii="Arial" w:hAnsi="Arial" w:cs="Arial"/>
                <w:sz w:val="16"/>
                <w:szCs w:val="16"/>
              </w:rPr>
            </w:pPr>
            <w:r>
              <w:rPr>
                <w:rFonts w:ascii="Arial" w:hAnsi="Arial" w:cs="Arial"/>
                <w:sz w:val="16"/>
                <w:szCs w:val="16"/>
              </w:rPr>
              <w:t>110</w:t>
            </w:r>
          </w:p>
        </w:tc>
        <w:tc>
          <w:tcPr>
            <w:tcW w:w="1352" w:type="dxa"/>
            <w:vAlign w:val="bottom"/>
          </w:tcPr>
          <w:p w:rsidR="00AA4D73" w:rsidRDefault="00AA4D73" w:rsidP="00B91E56">
            <w:pPr>
              <w:jc w:val="right"/>
              <w:rPr>
                <w:rFonts w:ascii="Arial" w:hAnsi="Arial" w:cs="Arial"/>
                <w:sz w:val="16"/>
                <w:szCs w:val="16"/>
              </w:rPr>
            </w:pPr>
            <w:r>
              <w:rPr>
                <w:rFonts w:ascii="Arial" w:hAnsi="Arial" w:cs="Arial"/>
                <w:sz w:val="16"/>
                <w:szCs w:val="16"/>
              </w:rPr>
              <w:t>200</w:t>
            </w:r>
          </w:p>
        </w:tc>
        <w:tc>
          <w:tcPr>
            <w:tcW w:w="1705" w:type="dxa"/>
            <w:noWrap/>
            <w:vAlign w:val="bottom"/>
            <w:hideMark/>
          </w:tcPr>
          <w:p w:rsidR="00AA4D73" w:rsidRDefault="00AA4D73" w:rsidP="00B91E56">
            <w:pPr>
              <w:jc w:val="right"/>
              <w:rPr>
                <w:rFonts w:ascii="Arial" w:hAnsi="Arial" w:cs="Arial"/>
                <w:sz w:val="16"/>
                <w:szCs w:val="16"/>
              </w:rPr>
            </w:pPr>
            <w:r>
              <w:rPr>
                <w:rFonts w:ascii="Arial" w:hAnsi="Arial" w:cs="Arial"/>
                <w:sz w:val="16"/>
                <w:szCs w:val="16"/>
              </w:rPr>
              <w:t>300</w:t>
            </w:r>
          </w:p>
        </w:tc>
        <w:tc>
          <w:tcPr>
            <w:tcW w:w="1458" w:type="dxa"/>
            <w:vAlign w:val="bottom"/>
          </w:tcPr>
          <w:p w:rsidR="00AA4D73" w:rsidRDefault="00AA4D73" w:rsidP="00B91E56">
            <w:pPr>
              <w:jc w:val="right"/>
              <w:rPr>
                <w:rFonts w:ascii="Arial" w:hAnsi="Arial" w:cs="Arial"/>
                <w:sz w:val="16"/>
                <w:szCs w:val="16"/>
              </w:rPr>
            </w:pPr>
            <w:r>
              <w:rPr>
                <w:rFonts w:ascii="Arial" w:hAnsi="Arial" w:cs="Arial"/>
                <w:sz w:val="16"/>
                <w:szCs w:val="16"/>
              </w:rPr>
              <w:t>450</w:t>
            </w:r>
          </w:p>
        </w:tc>
      </w:tr>
      <w:tr w:rsidR="00AA4D73" w:rsidRPr="009A161C" w:rsidTr="00B91E56">
        <w:trPr>
          <w:trHeight w:val="225"/>
        </w:trPr>
        <w:tc>
          <w:tcPr>
            <w:tcW w:w="1730" w:type="dxa"/>
            <w:noWrap/>
            <w:hideMark/>
          </w:tcPr>
          <w:p w:rsidR="00AA4D73" w:rsidRPr="009A161C" w:rsidRDefault="00AA4D73" w:rsidP="00B91E56">
            <w:proofErr w:type="spellStart"/>
            <w:r w:rsidRPr="009A161C">
              <w:t>Jhb</w:t>
            </w:r>
            <w:proofErr w:type="spellEnd"/>
            <w:r w:rsidRPr="009A161C">
              <w:t xml:space="preserve"> - </w:t>
            </w:r>
            <w:proofErr w:type="spellStart"/>
            <w:r w:rsidRPr="009A161C">
              <w:t>Sandton</w:t>
            </w:r>
            <w:proofErr w:type="spellEnd"/>
          </w:p>
        </w:tc>
        <w:tc>
          <w:tcPr>
            <w:tcW w:w="1464" w:type="dxa"/>
            <w:vAlign w:val="bottom"/>
          </w:tcPr>
          <w:p w:rsidR="00AA4D73" w:rsidRDefault="00AA4D73" w:rsidP="00B91E56">
            <w:pPr>
              <w:jc w:val="right"/>
              <w:rPr>
                <w:rFonts w:ascii="Arial" w:hAnsi="Arial" w:cs="Arial"/>
                <w:sz w:val="16"/>
                <w:szCs w:val="16"/>
              </w:rPr>
            </w:pPr>
            <w:r>
              <w:rPr>
                <w:rFonts w:ascii="Arial" w:hAnsi="Arial" w:cs="Arial"/>
                <w:sz w:val="16"/>
                <w:szCs w:val="16"/>
              </w:rPr>
              <w:t>120</w:t>
            </w:r>
          </w:p>
        </w:tc>
        <w:tc>
          <w:tcPr>
            <w:tcW w:w="1352" w:type="dxa"/>
            <w:vAlign w:val="bottom"/>
          </w:tcPr>
          <w:p w:rsidR="00AA4D73" w:rsidRDefault="00AA4D73" w:rsidP="00B91E56">
            <w:pPr>
              <w:jc w:val="right"/>
              <w:rPr>
                <w:rFonts w:ascii="Arial" w:hAnsi="Arial" w:cs="Arial"/>
                <w:sz w:val="16"/>
                <w:szCs w:val="16"/>
              </w:rPr>
            </w:pPr>
            <w:r>
              <w:rPr>
                <w:rFonts w:ascii="Arial" w:hAnsi="Arial" w:cs="Arial"/>
                <w:sz w:val="16"/>
                <w:szCs w:val="16"/>
              </w:rPr>
              <w:t>200</w:t>
            </w:r>
          </w:p>
        </w:tc>
        <w:tc>
          <w:tcPr>
            <w:tcW w:w="1705" w:type="dxa"/>
            <w:noWrap/>
            <w:vAlign w:val="bottom"/>
            <w:hideMark/>
          </w:tcPr>
          <w:p w:rsidR="00AA4D73" w:rsidRDefault="00AA4D73" w:rsidP="00B91E56">
            <w:pPr>
              <w:jc w:val="right"/>
              <w:rPr>
                <w:rFonts w:ascii="Arial" w:hAnsi="Arial" w:cs="Arial"/>
                <w:sz w:val="16"/>
                <w:szCs w:val="16"/>
              </w:rPr>
            </w:pPr>
            <w:r>
              <w:rPr>
                <w:rFonts w:ascii="Arial" w:hAnsi="Arial" w:cs="Arial"/>
                <w:sz w:val="16"/>
                <w:szCs w:val="16"/>
              </w:rPr>
              <w:t>300</w:t>
            </w:r>
          </w:p>
        </w:tc>
        <w:tc>
          <w:tcPr>
            <w:tcW w:w="1458" w:type="dxa"/>
            <w:vAlign w:val="bottom"/>
          </w:tcPr>
          <w:p w:rsidR="00AA4D73" w:rsidRDefault="00AA4D73" w:rsidP="00B91E56">
            <w:pPr>
              <w:jc w:val="right"/>
              <w:rPr>
                <w:rFonts w:ascii="Arial" w:hAnsi="Arial" w:cs="Arial"/>
                <w:sz w:val="16"/>
                <w:szCs w:val="16"/>
              </w:rPr>
            </w:pPr>
            <w:r>
              <w:rPr>
                <w:rFonts w:ascii="Arial" w:hAnsi="Arial" w:cs="Arial"/>
                <w:sz w:val="16"/>
                <w:szCs w:val="16"/>
              </w:rPr>
              <w:t>925</w:t>
            </w:r>
          </w:p>
        </w:tc>
      </w:tr>
      <w:tr w:rsidR="00AA4D73" w:rsidRPr="009A161C" w:rsidTr="00B91E56">
        <w:trPr>
          <w:trHeight w:val="225"/>
        </w:trPr>
        <w:tc>
          <w:tcPr>
            <w:tcW w:w="1730" w:type="dxa"/>
            <w:noWrap/>
            <w:hideMark/>
          </w:tcPr>
          <w:p w:rsidR="00AA4D73" w:rsidRPr="009A161C" w:rsidRDefault="00AA4D73" w:rsidP="00B91E56">
            <w:proofErr w:type="spellStart"/>
            <w:r w:rsidRPr="009A161C">
              <w:t>Jhb</w:t>
            </w:r>
            <w:proofErr w:type="spellEnd"/>
            <w:r w:rsidRPr="009A161C">
              <w:t xml:space="preserve"> - South</w:t>
            </w:r>
          </w:p>
        </w:tc>
        <w:tc>
          <w:tcPr>
            <w:tcW w:w="1464" w:type="dxa"/>
            <w:vAlign w:val="bottom"/>
          </w:tcPr>
          <w:p w:rsidR="00AA4D73" w:rsidRDefault="00AA4D73" w:rsidP="00B91E56">
            <w:pPr>
              <w:jc w:val="right"/>
              <w:rPr>
                <w:rFonts w:ascii="Arial" w:hAnsi="Arial" w:cs="Arial"/>
                <w:sz w:val="16"/>
                <w:szCs w:val="16"/>
              </w:rPr>
            </w:pPr>
            <w:r>
              <w:rPr>
                <w:rFonts w:ascii="Arial" w:hAnsi="Arial" w:cs="Arial"/>
                <w:sz w:val="16"/>
                <w:szCs w:val="16"/>
              </w:rPr>
              <w:t>142</w:t>
            </w:r>
          </w:p>
        </w:tc>
        <w:tc>
          <w:tcPr>
            <w:tcW w:w="1352" w:type="dxa"/>
            <w:vAlign w:val="bottom"/>
          </w:tcPr>
          <w:p w:rsidR="00AA4D73" w:rsidRDefault="00AA4D73" w:rsidP="00B91E56">
            <w:pPr>
              <w:jc w:val="right"/>
              <w:rPr>
                <w:rFonts w:ascii="Arial" w:hAnsi="Arial" w:cs="Arial"/>
                <w:sz w:val="16"/>
                <w:szCs w:val="16"/>
              </w:rPr>
            </w:pPr>
            <w:r>
              <w:rPr>
                <w:rFonts w:ascii="Arial" w:hAnsi="Arial" w:cs="Arial"/>
                <w:sz w:val="16"/>
                <w:szCs w:val="16"/>
              </w:rPr>
              <w:t>267</w:t>
            </w:r>
          </w:p>
        </w:tc>
        <w:tc>
          <w:tcPr>
            <w:tcW w:w="1705" w:type="dxa"/>
            <w:noWrap/>
            <w:vAlign w:val="bottom"/>
            <w:hideMark/>
          </w:tcPr>
          <w:p w:rsidR="00AA4D73" w:rsidRDefault="00AA4D73" w:rsidP="00B91E56">
            <w:pPr>
              <w:jc w:val="right"/>
              <w:rPr>
                <w:rFonts w:ascii="Arial" w:hAnsi="Arial" w:cs="Arial"/>
                <w:sz w:val="16"/>
                <w:szCs w:val="16"/>
              </w:rPr>
            </w:pPr>
            <w:r>
              <w:rPr>
                <w:rFonts w:ascii="Arial" w:hAnsi="Arial" w:cs="Arial"/>
                <w:sz w:val="16"/>
                <w:szCs w:val="16"/>
              </w:rPr>
              <w:t>350</w:t>
            </w:r>
          </w:p>
        </w:tc>
        <w:tc>
          <w:tcPr>
            <w:tcW w:w="1458" w:type="dxa"/>
            <w:vAlign w:val="bottom"/>
          </w:tcPr>
          <w:p w:rsidR="00AA4D73" w:rsidRDefault="00AA4D73" w:rsidP="00B91E56">
            <w:pPr>
              <w:jc w:val="right"/>
              <w:rPr>
                <w:rFonts w:ascii="Arial" w:hAnsi="Arial" w:cs="Arial"/>
                <w:sz w:val="16"/>
                <w:szCs w:val="16"/>
              </w:rPr>
            </w:pPr>
            <w:r>
              <w:rPr>
                <w:rFonts w:ascii="Arial" w:hAnsi="Arial" w:cs="Arial"/>
                <w:sz w:val="16"/>
                <w:szCs w:val="16"/>
              </w:rPr>
              <w:t>750</w:t>
            </w:r>
          </w:p>
        </w:tc>
      </w:tr>
      <w:tr w:rsidR="00AA4D73" w:rsidRPr="009A161C" w:rsidTr="00B91E56">
        <w:trPr>
          <w:trHeight w:val="225"/>
        </w:trPr>
        <w:tc>
          <w:tcPr>
            <w:tcW w:w="1730" w:type="dxa"/>
            <w:noWrap/>
            <w:hideMark/>
          </w:tcPr>
          <w:p w:rsidR="00AA4D73" w:rsidRPr="009A161C" w:rsidRDefault="00AA4D73" w:rsidP="00B91E56">
            <w:proofErr w:type="spellStart"/>
            <w:r w:rsidRPr="009A161C">
              <w:t>Jhb</w:t>
            </w:r>
            <w:proofErr w:type="spellEnd"/>
            <w:r w:rsidRPr="009A161C">
              <w:t xml:space="preserve"> - West</w:t>
            </w:r>
          </w:p>
        </w:tc>
        <w:tc>
          <w:tcPr>
            <w:tcW w:w="1464" w:type="dxa"/>
            <w:vAlign w:val="bottom"/>
          </w:tcPr>
          <w:p w:rsidR="00AA4D73" w:rsidRDefault="00AA4D73" w:rsidP="00B91E56">
            <w:pPr>
              <w:jc w:val="right"/>
              <w:rPr>
                <w:rFonts w:ascii="Arial" w:hAnsi="Arial" w:cs="Arial"/>
                <w:sz w:val="16"/>
                <w:szCs w:val="16"/>
              </w:rPr>
            </w:pPr>
            <w:r>
              <w:rPr>
                <w:rFonts w:ascii="Arial" w:hAnsi="Arial" w:cs="Arial"/>
                <w:sz w:val="16"/>
                <w:szCs w:val="16"/>
              </w:rPr>
              <w:t>125</w:t>
            </w:r>
          </w:p>
        </w:tc>
        <w:tc>
          <w:tcPr>
            <w:tcW w:w="1352" w:type="dxa"/>
            <w:vAlign w:val="bottom"/>
          </w:tcPr>
          <w:p w:rsidR="00AA4D73" w:rsidRDefault="00AA4D73" w:rsidP="00B91E56">
            <w:pPr>
              <w:jc w:val="right"/>
              <w:rPr>
                <w:rFonts w:ascii="Arial" w:hAnsi="Arial" w:cs="Arial"/>
                <w:sz w:val="16"/>
                <w:szCs w:val="16"/>
              </w:rPr>
            </w:pPr>
            <w:r>
              <w:rPr>
                <w:rFonts w:ascii="Arial" w:hAnsi="Arial" w:cs="Arial"/>
                <w:sz w:val="16"/>
                <w:szCs w:val="16"/>
              </w:rPr>
              <w:t>200</w:t>
            </w:r>
          </w:p>
        </w:tc>
        <w:tc>
          <w:tcPr>
            <w:tcW w:w="1705" w:type="dxa"/>
            <w:noWrap/>
            <w:vAlign w:val="bottom"/>
            <w:hideMark/>
          </w:tcPr>
          <w:p w:rsidR="00AA4D73" w:rsidRDefault="00AA4D73" w:rsidP="00B91E56">
            <w:pPr>
              <w:jc w:val="right"/>
              <w:rPr>
                <w:rFonts w:ascii="Arial" w:hAnsi="Arial" w:cs="Arial"/>
                <w:sz w:val="16"/>
                <w:szCs w:val="16"/>
              </w:rPr>
            </w:pPr>
            <w:r>
              <w:rPr>
                <w:rFonts w:ascii="Arial" w:hAnsi="Arial" w:cs="Arial"/>
                <w:sz w:val="16"/>
                <w:szCs w:val="16"/>
              </w:rPr>
              <w:t>250</w:t>
            </w:r>
          </w:p>
        </w:tc>
        <w:tc>
          <w:tcPr>
            <w:tcW w:w="1458" w:type="dxa"/>
            <w:vAlign w:val="bottom"/>
          </w:tcPr>
          <w:p w:rsidR="00AA4D73" w:rsidRDefault="00AA4D73" w:rsidP="00B91E56">
            <w:pPr>
              <w:jc w:val="right"/>
              <w:rPr>
                <w:rFonts w:ascii="Arial" w:hAnsi="Arial" w:cs="Arial"/>
                <w:sz w:val="16"/>
                <w:szCs w:val="16"/>
              </w:rPr>
            </w:pPr>
            <w:r>
              <w:rPr>
                <w:rFonts w:ascii="Arial" w:hAnsi="Arial" w:cs="Arial"/>
                <w:sz w:val="16"/>
                <w:szCs w:val="16"/>
              </w:rPr>
              <w:t>750</w:t>
            </w:r>
          </w:p>
        </w:tc>
      </w:tr>
      <w:tr w:rsidR="00AA4D73" w:rsidRPr="009A161C" w:rsidTr="00B91E56">
        <w:trPr>
          <w:trHeight w:val="225"/>
        </w:trPr>
        <w:tc>
          <w:tcPr>
            <w:tcW w:w="1730" w:type="dxa"/>
            <w:noWrap/>
            <w:hideMark/>
          </w:tcPr>
          <w:p w:rsidR="00AA4D73" w:rsidRPr="009A161C" w:rsidRDefault="00AA4D73" w:rsidP="00B91E56">
            <w:proofErr w:type="spellStart"/>
            <w:r w:rsidRPr="009A161C">
              <w:t>Neslspruit</w:t>
            </w:r>
            <w:proofErr w:type="spellEnd"/>
          </w:p>
        </w:tc>
        <w:tc>
          <w:tcPr>
            <w:tcW w:w="1464" w:type="dxa"/>
            <w:vAlign w:val="bottom"/>
          </w:tcPr>
          <w:p w:rsidR="00AA4D73" w:rsidRDefault="00AA4D73" w:rsidP="00B91E56">
            <w:pPr>
              <w:jc w:val="right"/>
              <w:rPr>
                <w:rFonts w:ascii="Arial" w:hAnsi="Arial" w:cs="Arial"/>
                <w:sz w:val="16"/>
                <w:szCs w:val="16"/>
              </w:rPr>
            </w:pPr>
            <w:r>
              <w:rPr>
                <w:rFonts w:ascii="Arial" w:hAnsi="Arial" w:cs="Arial"/>
                <w:sz w:val="16"/>
                <w:szCs w:val="16"/>
              </w:rPr>
              <w:t>150</w:t>
            </w:r>
          </w:p>
        </w:tc>
        <w:tc>
          <w:tcPr>
            <w:tcW w:w="1352" w:type="dxa"/>
            <w:vAlign w:val="bottom"/>
          </w:tcPr>
          <w:p w:rsidR="00AA4D73" w:rsidRDefault="00AA4D73" w:rsidP="00B91E56">
            <w:pPr>
              <w:jc w:val="right"/>
              <w:rPr>
                <w:rFonts w:ascii="Arial" w:hAnsi="Arial" w:cs="Arial"/>
                <w:sz w:val="16"/>
                <w:szCs w:val="16"/>
              </w:rPr>
            </w:pPr>
            <w:r>
              <w:rPr>
                <w:rFonts w:ascii="Arial" w:hAnsi="Arial" w:cs="Arial"/>
                <w:sz w:val="16"/>
                <w:szCs w:val="16"/>
              </w:rPr>
              <w:t>220</w:t>
            </w:r>
          </w:p>
        </w:tc>
        <w:tc>
          <w:tcPr>
            <w:tcW w:w="1705" w:type="dxa"/>
            <w:noWrap/>
            <w:vAlign w:val="bottom"/>
            <w:hideMark/>
          </w:tcPr>
          <w:p w:rsidR="00AA4D73" w:rsidRDefault="00AA4D73" w:rsidP="00B91E56">
            <w:pPr>
              <w:jc w:val="right"/>
              <w:rPr>
                <w:rFonts w:ascii="Arial" w:hAnsi="Arial" w:cs="Arial"/>
                <w:sz w:val="16"/>
                <w:szCs w:val="16"/>
              </w:rPr>
            </w:pPr>
            <w:r>
              <w:rPr>
                <w:rFonts w:ascii="Arial" w:hAnsi="Arial" w:cs="Arial"/>
                <w:sz w:val="16"/>
                <w:szCs w:val="16"/>
              </w:rPr>
              <w:t>350</w:t>
            </w:r>
          </w:p>
        </w:tc>
        <w:tc>
          <w:tcPr>
            <w:tcW w:w="1458" w:type="dxa"/>
            <w:vAlign w:val="bottom"/>
          </w:tcPr>
          <w:p w:rsidR="00AA4D73" w:rsidRDefault="00AA4D73" w:rsidP="00B91E56">
            <w:pPr>
              <w:jc w:val="right"/>
              <w:rPr>
                <w:rFonts w:ascii="Arial" w:hAnsi="Arial" w:cs="Arial"/>
                <w:sz w:val="16"/>
                <w:szCs w:val="16"/>
              </w:rPr>
            </w:pPr>
            <w:r>
              <w:rPr>
                <w:rFonts w:ascii="Arial" w:hAnsi="Arial" w:cs="Arial"/>
                <w:sz w:val="16"/>
                <w:szCs w:val="16"/>
              </w:rPr>
              <w:t>350</w:t>
            </w:r>
          </w:p>
        </w:tc>
      </w:tr>
      <w:tr w:rsidR="00AA4D73" w:rsidRPr="009A161C" w:rsidTr="00B91E56">
        <w:trPr>
          <w:trHeight w:val="225"/>
        </w:trPr>
        <w:tc>
          <w:tcPr>
            <w:tcW w:w="1730" w:type="dxa"/>
            <w:noWrap/>
            <w:hideMark/>
          </w:tcPr>
          <w:p w:rsidR="00AA4D73" w:rsidRPr="009A161C" w:rsidRDefault="00AA4D73" w:rsidP="00B91E56">
            <w:r w:rsidRPr="009A161C">
              <w:t>PE/EL</w:t>
            </w:r>
          </w:p>
        </w:tc>
        <w:tc>
          <w:tcPr>
            <w:tcW w:w="1464" w:type="dxa"/>
            <w:vAlign w:val="bottom"/>
          </w:tcPr>
          <w:p w:rsidR="00AA4D73" w:rsidRDefault="00AA4D73" w:rsidP="00B91E56">
            <w:pPr>
              <w:jc w:val="right"/>
              <w:rPr>
                <w:rFonts w:ascii="Arial" w:hAnsi="Arial" w:cs="Arial"/>
                <w:sz w:val="16"/>
                <w:szCs w:val="16"/>
              </w:rPr>
            </w:pPr>
            <w:r>
              <w:rPr>
                <w:rFonts w:ascii="Arial" w:hAnsi="Arial" w:cs="Arial"/>
                <w:sz w:val="16"/>
                <w:szCs w:val="16"/>
              </w:rPr>
              <w:t>146</w:t>
            </w:r>
          </w:p>
        </w:tc>
        <w:tc>
          <w:tcPr>
            <w:tcW w:w="1352" w:type="dxa"/>
            <w:vAlign w:val="bottom"/>
          </w:tcPr>
          <w:p w:rsidR="00AA4D73" w:rsidRDefault="00AA4D73" w:rsidP="00B91E56">
            <w:pPr>
              <w:jc w:val="right"/>
              <w:rPr>
                <w:rFonts w:ascii="Arial" w:hAnsi="Arial" w:cs="Arial"/>
                <w:sz w:val="16"/>
                <w:szCs w:val="16"/>
              </w:rPr>
            </w:pPr>
            <w:r>
              <w:rPr>
                <w:rFonts w:ascii="Arial" w:hAnsi="Arial" w:cs="Arial"/>
                <w:sz w:val="16"/>
                <w:szCs w:val="16"/>
              </w:rPr>
              <w:t>200</w:t>
            </w:r>
          </w:p>
        </w:tc>
        <w:tc>
          <w:tcPr>
            <w:tcW w:w="1705" w:type="dxa"/>
            <w:noWrap/>
            <w:vAlign w:val="bottom"/>
            <w:hideMark/>
          </w:tcPr>
          <w:p w:rsidR="00AA4D73" w:rsidRDefault="00AA4D73" w:rsidP="00B91E56">
            <w:pPr>
              <w:jc w:val="right"/>
              <w:rPr>
                <w:rFonts w:ascii="Arial" w:hAnsi="Arial" w:cs="Arial"/>
                <w:sz w:val="16"/>
                <w:szCs w:val="16"/>
              </w:rPr>
            </w:pPr>
            <w:r>
              <w:rPr>
                <w:rFonts w:ascii="Arial" w:hAnsi="Arial" w:cs="Arial"/>
                <w:sz w:val="16"/>
                <w:szCs w:val="16"/>
              </w:rPr>
              <w:t>257</w:t>
            </w:r>
          </w:p>
        </w:tc>
        <w:tc>
          <w:tcPr>
            <w:tcW w:w="1458" w:type="dxa"/>
            <w:vAlign w:val="bottom"/>
          </w:tcPr>
          <w:p w:rsidR="00AA4D73" w:rsidRDefault="00AA4D73" w:rsidP="00B91E56">
            <w:pPr>
              <w:jc w:val="right"/>
              <w:rPr>
                <w:rFonts w:ascii="Arial" w:hAnsi="Arial" w:cs="Arial"/>
                <w:sz w:val="16"/>
                <w:szCs w:val="16"/>
              </w:rPr>
            </w:pPr>
            <w:r>
              <w:rPr>
                <w:rFonts w:ascii="Arial" w:hAnsi="Arial" w:cs="Arial"/>
                <w:sz w:val="16"/>
                <w:szCs w:val="16"/>
              </w:rPr>
              <w:t>500</w:t>
            </w:r>
          </w:p>
        </w:tc>
      </w:tr>
      <w:tr w:rsidR="00AA4D73" w:rsidRPr="009A161C" w:rsidTr="00B91E56">
        <w:trPr>
          <w:trHeight w:val="225"/>
        </w:trPr>
        <w:tc>
          <w:tcPr>
            <w:tcW w:w="1730" w:type="dxa"/>
            <w:noWrap/>
            <w:hideMark/>
          </w:tcPr>
          <w:p w:rsidR="00AA4D73" w:rsidRPr="009A161C" w:rsidRDefault="00AA4D73" w:rsidP="00B91E56">
            <w:r w:rsidRPr="009A161C">
              <w:t>Pietermaritzburg</w:t>
            </w:r>
          </w:p>
        </w:tc>
        <w:tc>
          <w:tcPr>
            <w:tcW w:w="1464" w:type="dxa"/>
            <w:vAlign w:val="bottom"/>
          </w:tcPr>
          <w:p w:rsidR="00AA4D73" w:rsidRDefault="00AA4D73" w:rsidP="00B91E56">
            <w:pPr>
              <w:jc w:val="right"/>
              <w:rPr>
                <w:rFonts w:ascii="Arial" w:hAnsi="Arial" w:cs="Arial"/>
                <w:sz w:val="16"/>
                <w:szCs w:val="16"/>
              </w:rPr>
            </w:pPr>
            <w:r>
              <w:rPr>
                <w:rFonts w:ascii="Arial" w:hAnsi="Arial" w:cs="Arial"/>
                <w:sz w:val="16"/>
                <w:szCs w:val="16"/>
              </w:rPr>
              <w:t>100</w:t>
            </w:r>
          </w:p>
        </w:tc>
        <w:tc>
          <w:tcPr>
            <w:tcW w:w="1352" w:type="dxa"/>
            <w:vAlign w:val="bottom"/>
          </w:tcPr>
          <w:p w:rsidR="00AA4D73" w:rsidRDefault="00AA4D73" w:rsidP="00B91E56">
            <w:pPr>
              <w:jc w:val="right"/>
              <w:rPr>
                <w:rFonts w:ascii="Arial" w:hAnsi="Arial" w:cs="Arial"/>
                <w:sz w:val="16"/>
                <w:szCs w:val="16"/>
              </w:rPr>
            </w:pPr>
            <w:r>
              <w:rPr>
                <w:rFonts w:ascii="Arial" w:hAnsi="Arial" w:cs="Arial"/>
                <w:sz w:val="16"/>
                <w:szCs w:val="16"/>
              </w:rPr>
              <w:t>125</w:t>
            </w:r>
          </w:p>
        </w:tc>
        <w:tc>
          <w:tcPr>
            <w:tcW w:w="1705" w:type="dxa"/>
            <w:noWrap/>
            <w:vAlign w:val="bottom"/>
            <w:hideMark/>
          </w:tcPr>
          <w:p w:rsidR="00AA4D73" w:rsidRDefault="00AA4D73" w:rsidP="00B91E56">
            <w:pPr>
              <w:jc w:val="right"/>
              <w:rPr>
                <w:rFonts w:ascii="Arial" w:hAnsi="Arial" w:cs="Arial"/>
                <w:sz w:val="16"/>
                <w:szCs w:val="16"/>
              </w:rPr>
            </w:pPr>
            <w:r>
              <w:rPr>
                <w:rFonts w:ascii="Arial" w:hAnsi="Arial" w:cs="Arial"/>
                <w:sz w:val="16"/>
                <w:szCs w:val="16"/>
              </w:rPr>
              <w:t>207</w:t>
            </w:r>
          </w:p>
        </w:tc>
        <w:tc>
          <w:tcPr>
            <w:tcW w:w="1458" w:type="dxa"/>
            <w:vAlign w:val="bottom"/>
          </w:tcPr>
          <w:p w:rsidR="00AA4D73" w:rsidRDefault="00AA4D73" w:rsidP="00B91E56">
            <w:pPr>
              <w:jc w:val="right"/>
              <w:rPr>
                <w:rFonts w:ascii="Arial" w:hAnsi="Arial" w:cs="Arial"/>
                <w:sz w:val="16"/>
                <w:szCs w:val="16"/>
              </w:rPr>
            </w:pPr>
            <w:r>
              <w:rPr>
                <w:rFonts w:ascii="Arial" w:hAnsi="Arial" w:cs="Arial"/>
                <w:sz w:val="16"/>
                <w:szCs w:val="16"/>
              </w:rPr>
              <w:t>350</w:t>
            </w:r>
          </w:p>
        </w:tc>
      </w:tr>
      <w:tr w:rsidR="00AA4D73" w:rsidRPr="009A161C" w:rsidTr="00B91E56">
        <w:trPr>
          <w:trHeight w:val="225"/>
        </w:trPr>
        <w:tc>
          <w:tcPr>
            <w:tcW w:w="1730" w:type="dxa"/>
            <w:noWrap/>
            <w:hideMark/>
          </w:tcPr>
          <w:p w:rsidR="00AA4D73" w:rsidRPr="009A161C" w:rsidRDefault="00AA4D73" w:rsidP="00B91E56">
            <w:proofErr w:type="spellStart"/>
            <w:r w:rsidRPr="009A161C">
              <w:t>Polokwane</w:t>
            </w:r>
            <w:proofErr w:type="spellEnd"/>
          </w:p>
        </w:tc>
        <w:tc>
          <w:tcPr>
            <w:tcW w:w="1464" w:type="dxa"/>
            <w:vAlign w:val="bottom"/>
          </w:tcPr>
          <w:p w:rsidR="00AA4D73" w:rsidRDefault="00AA4D73" w:rsidP="00B91E56">
            <w:pPr>
              <w:jc w:val="right"/>
              <w:rPr>
                <w:rFonts w:ascii="Arial" w:hAnsi="Arial" w:cs="Arial"/>
                <w:sz w:val="16"/>
                <w:szCs w:val="16"/>
              </w:rPr>
            </w:pPr>
            <w:r>
              <w:rPr>
                <w:rFonts w:ascii="Arial" w:hAnsi="Arial" w:cs="Arial"/>
                <w:sz w:val="16"/>
                <w:szCs w:val="16"/>
              </w:rPr>
              <w:t>300</w:t>
            </w:r>
          </w:p>
        </w:tc>
        <w:tc>
          <w:tcPr>
            <w:tcW w:w="1352" w:type="dxa"/>
            <w:vAlign w:val="bottom"/>
          </w:tcPr>
          <w:p w:rsidR="00AA4D73" w:rsidRDefault="00AA4D73" w:rsidP="00B91E56">
            <w:pPr>
              <w:jc w:val="right"/>
              <w:rPr>
                <w:rFonts w:ascii="Arial" w:hAnsi="Arial" w:cs="Arial"/>
                <w:sz w:val="16"/>
                <w:szCs w:val="16"/>
              </w:rPr>
            </w:pPr>
            <w:r>
              <w:rPr>
                <w:rFonts w:ascii="Arial" w:hAnsi="Arial" w:cs="Arial"/>
                <w:sz w:val="16"/>
                <w:szCs w:val="16"/>
              </w:rPr>
              <w:t>325</w:t>
            </w:r>
          </w:p>
        </w:tc>
        <w:tc>
          <w:tcPr>
            <w:tcW w:w="1705" w:type="dxa"/>
            <w:noWrap/>
            <w:vAlign w:val="bottom"/>
            <w:hideMark/>
          </w:tcPr>
          <w:p w:rsidR="00AA4D73" w:rsidRDefault="00AA4D73" w:rsidP="00B91E56">
            <w:pPr>
              <w:jc w:val="right"/>
              <w:rPr>
                <w:rFonts w:ascii="Arial" w:hAnsi="Arial" w:cs="Arial"/>
                <w:sz w:val="16"/>
                <w:szCs w:val="16"/>
              </w:rPr>
            </w:pPr>
            <w:r>
              <w:rPr>
                <w:rFonts w:ascii="Arial" w:hAnsi="Arial" w:cs="Arial"/>
                <w:sz w:val="16"/>
                <w:szCs w:val="16"/>
              </w:rPr>
              <w:t>350</w:t>
            </w:r>
          </w:p>
        </w:tc>
        <w:tc>
          <w:tcPr>
            <w:tcW w:w="1458" w:type="dxa"/>
            <w:vAlign w:val="bottom"/>
          </w:tcPr>
          <w:p w:rsidR="00AA4D73" w:rsidRDefault="00AA4D73" w:rsidP="00B91E56">
            <w:pPr>
              <w:jc w:val="right"/>
              <w:rPr>
                <w:rFonts w:ascii="Arial" w:hAnsi="Arial" w:cs="Arial"/>
                <w:sz w:val="16"/>
                <w:szCs w:val="16"/>
              </w:rPr>
            </w:pPr>
            <w:r>
              <w:rPr>
                <w:rFonts w:ascii="Arial" w:hAnsi="Arial" w:cs="Arial"/>
                <w:sz w:val="16"/>
                <w:szCs w:val="16"/>
              </w:rPr>
              <w:t>650</w:t>
            </w:r>
          </w:p>
        </w:tc>
      </w:tr>
      <w:tr w:rsidR="00AA4D73" w:rsidRPr="009A161C" w:rsidTr="00B91E56">
        <w:trPr>
          <w:trHeight w:val="225"/>
        </w:trPr>
        <w:tc>
          <w:tcPr>
            <w:tcW w:w="1730" w:type="dxa"/>
            <w:noWrap/>
            <w:hideMark/>
          </w:tcPr>
          <w:p w:rsidR="00AA4D73" w:rsidRPr="009A161C" w:rsidRDefault="00AA4D73" w:rsidP="00B91E56">
            <w:r w:rsidRPr="009A161C">
              <w:t>Potchefstroom</w:t>
            </w:r>
          </w:p>
        </w:tc>
        <w:tc>
          <w:tcPr>
            <w:tcW w:w="1464" w:type="dxa"/>
            <w:vAlign w:val="bottom"/>
          </w:tcPr>
          <w:p w:rsidR="00AA4D73" w:rsidRDefault="00AA4D73" w:rsidP="00B91E56">
            <w:pPr>
              <w:jc w:val="right"/>
              <w:rPr>
                <w:rFonts w:ascii="Arial" w:hAnsi="Arial" w:cs="Arial"/>
                <w:sz w:val="16"/>
                <w:szCs w:val="16"/>
              </w:rPr>
            </w:pPr>
            <w:r>
              <w:rPr>
                <w:rFonts w:ascii="Arial" w:hAnsi="Arial" w:cs="Arial"/>
                <w:sz w:val="16"/>
                <w:szCs w:val="16"/>
              </w:rPr>
              <w:t>150</w:t>
            </w:r>
          </w:p>
        </w:tc>
        <w:tc>
          <w:tcPr>
            <w:tcW w:w="1352" w:type="dxa"/>
            <w:vAlign w:val="bottom"/>
          </w:tcPr>
          <w:p w:rsidR="00AA4D73" w:rsidRDefault="00AA4D73" w:rsidP="00B91E56">
            <w:pPr>
              <w:jc w:val="right"/>
              <w:rPr>
                <w:rFonts w:ascii="Arial" w:hAnsi="Arial" w:cs="Arial"/>
                <w:sz w:val="16"/>
                <w:szCs w:val="16"/>
              </w:rPr>
            </w:pPr>
            <w:r>
              <w:rPr>
                <w:rFonts w:ascii="Arial" w:hAnsi="Arial" w:cs="Arial"/>
                <w:sz w:val="16"/>
                <w:szCs w:val="16"/>
              </w:rPr>
              <w:t>200</w:t>
            </w:r>
          </w:p>
        </w:tc>
        <w:tc>
          <w:tcPr>
            <w:tcW w:w="1705" w:type="dxa"/>
            <w:noWrap/>
            <w:vAlign w:val="bottom"/>
            <w:hideMark/>
          </w:tcPr>
          <w:p w:rsidR="00AA4D73" w:rsidRDefault="00AA4D73" w:rsidP="00B91E56">
            <w:pPr>
              <w:jc w:val="right"/>
              <w:rPr>
                <w:rFonts w:ascii="Arial" w:hAnsi="Arial" w:cs="Arial"/>
                <w:sz w:val="16"/>
                <w:szCs w:val="16"/>
              </w:rPr>
            </w:pPr>
            <w:r>
              <w:rPr>
                <w:rFonts w:ascii="Arial" w:hAnsi="Arial" w:cs="Arial"/>
                <w:sz w:val="16"/>
                <w:szCs w:val="16"/>
              </w:rPr>
              <w:t>250</w:t>
            </w:r>
          </w:p>
        </w:tc>
        <w:tc>
          <w:tcPr>
            <w:tcW w:w="1458" w:type="dxa"/>
            <w:vAlign w:val="bottom"/>
          </w:tcPr>
          <w:p w:rsidR="00AA4D73" w:rsidRDefault="00AA4D73" w:rsidP="00B91E56">
            <w:pPr>
              <w:jc w:val="right"/>
              <w:rPr>
                <w:rFonts w:ascii="Arial" w:hAnsi="Arial" w:cs="Arial"/>
                <w:sz w:val="16"/>
                <w:szCs w:val="16"/>
              </w:rPr>
            </w:pPr>
            <w:r>
              <w:rPr>
                <w:rFonts w:ascii="Arial" w:hAnsi="Arial" w:cs="Arial"/>
                <w:sz w:val="16"/>
                <w:szCs w:val="16"/>
              </w:rPr>
              <w:t>350</w:t>
            </w:r>
          </w:p>
        </w:tc>
      </w:tr>
      <w:tr w:rsidR="00AA4D73" w:rsidRPr="009A161C" w:rsidTr="00B91E56">
        <w:trPr>
          <w:trHeight w:val="225"/>
        </w:trPr>
        <w:tc>
          <w:tcPr>
            <w:tcW w:w="1730" w:type="dxa"/>
            <w:noWrap/>
            <w:hideMark/>
          </w:tcPr>
          <w:p w:rsidR="00AA4D73" w:rsidRPr="009A161C" w:rsidRDefault="00AA4D73" w:rsidP="00B91E56">
            <w:r w:rsidRPr="009A161C">
              <w:t>Pretoria</w:t>
            </w:r>
          </w:p>
        </w:tc>
        <w:tc>
          <w:tcPr>
            <w:tcW w:w="1464" w:type="dxa"/>
            <w:vAlign w:val="bottom"/>
          </w:tcPr>
          <w:p w:rsidR="00AA4D73" w:rsidRDefault="00AA4D73" w:rsidP="00B91E56">
            <w:pPr>
              <w:jc w:val="right"/>
              <w:rPr>
                <w:rFonts w:ascii="Arial" w:hAnsi="Arial" w:cs="Arial"/>
                <w:sz w:val="16"/>
                <w:szCs w:val="16"/>
              </w:rPr>
            </w:pPr>
            <w:r>
              <w:rPr>
                <w:rFonts w:ascii="Arial" w:hAnsi="Arial" w:cs="Arial"/>
                <w:sz w:val="16"/>
                <w:szCs w:val="16"/>
              </w:rPr>
              <w:t>123</w:t>
            </w:r>
          </w:p>
        </w:tc>
        <w:tc>
          <w:tcPr>
            <w:tcW w:w="1352" w:type="dxa"/>
            <w:vAlign w:val="bottom"/>
          </w:tcPr>
          <w:p w:rsidR="00AA4D73" w:rsidRDefault="00AA4D73" w:rsidP="00B91E56">
            <w:pPr>
              <w:jc w:val="right"/>
              <w:rPr>
                <w:rFonts w:ascii="Arial" w:hAnsi="Arial" w:cs="Arial"/>
                <w:sz w:val="16"/>
                <w:szCs w:val="16"/>
              </w:rPr>
            </w:pPr>
            <w:r>
              <w:rPr>
                <w:rFonts w:ascii="Arial" w:hAnsi="Arial" w:cs="Arial"/>
                <w:sz w:val="16"/>
                <w:szCs w:val="16"/>
              </w:rPr>
              <w:t>250</w:t>
            </w:r>
          </w:p>
        </w:tc>
        <w:tc>
          <w:tcPr>
            <w:tcW w:w="1705" w:type="dxa"/>
            <w:noWrap/>
            <w:vAlign w:val="bottom"/>
            <w:hideMark/>
          </w:tcPr>
          <w:p w:rsidR="00AA4D73" w:rsidRDefault="00AA4D73" w:rsidP="00B91E56">
            <w:pPr>
              <w:jc w:val="right"/>
              <w:rPr>
                <w:rFonts w:ascii="Arial" w:hAnsi="Arial" w:cs="Arial"/>
                <w:sz w:val="16"/>
                <w:szCs w:val="16"/>
              </w:rPr>
            </w:pPr>
            <w:r>
              <w:rPr>
                <w:rFonts w:ascii="Arial" w:hAnsi="Arial" w:cs="Arial"/>
                <w:sz w:val="16"/>
                <w:szCs w:val="16"/>
              </w:rPr>
              <w:t>300</w:t>
            </w:r>
          </w:p>
        </w:tc>
        <w:tc>
          <w:tcPr>
            <w:tcW w:w="1458" w:type="dxa"/>
            <w:vAlign w:val="bottom"/>
          </w:tcPr>
          <w:p w:rsidR="00AA4D73" w:rsidRDefault="00AA4D73" w:rsidP="00B91E56">
            <w:pPr>
              <w:jc w:val="right"/>
              <w:rPr>
                <w:rFonts w:ascii="Arial" w:hAnsi="Arial" w:cs="Arial"/>
                <w:sz w:val="16"/>
                <w:szCs w:val="16"/>
              </w:rPr>
            </w:pPr>
            <w:r>
              <w:rPr>
                <w:rFonts w:ascii="Arial" w:hAnsi="Arial" w:cs="Arial"/>
                <w:sz w:val="16"/>
                <w:szCs w:val="16"/>
              </w:rPr>
              <w:t>550</w:t>
            </w:r>
          </w:p>
        </w:tc>
      </w:tr>
    </w:tbl>
    <w:p w:rsidR="00FB1EE7" w:rsidRDefault="00FB1EE7"/>
    <w:p w:rsidR="00B91E56" w:rsidRDefault="00B91E56"/>
    <w:p w:rsidR="00430797" w:rsidRDefault="00430797"/>
    <w:p w:rsidR="00430797" w:rsidRDefault="00430797"/>
    <w:p w:rsidR="00B91E56" w:rsidRPr="00957B92" w:rsidRDefault="00B91E56" w:rsidP="00B91E56">
      <w:r w:rsidRPr="00957B92">
        <w:rPr>
          <w:b/>
          <w:bCs/>
        </w:rPr>
        <w:t>Rates Clearance Certificate costs</w:t>
      </w:r>
    </w:p>
    <w:p w:rsidR="00B91E56" w:rsidRPr="00957B92" w:rsidRDefault="00B91E56" w:rsidP="00B91E56">
      <w:r w:rsidRPr="00957B92">
        <w:t>Here there was a very big variation, we can only assume that the amounts charged were dependent on the nature of the developments, kind of property transfers and what is necessary to get rates clearance certificates from the various municipalities</w:t>
      </w:r>
      <w:r>
        <w:t xml:space="preserve"> across the country</w:t>
      </w:r>
      <w:r w:rsidRPr="00957B92">
        <w:t>.</w:t>
      </w:r>
    </w:p>
    <w:p w:rsidR="00B91E56" w:rsidRDefault="00B91E56"/>
    <w:p w:rsidR="00FB1EE7" w:rsidRDefault="00FB1EE7">
      <w:r>
        <w:rPr>
          <w:noProof/>
          <w:lang w:eastAsia="en-ZA"/>
        </w:rPr>
        <w:lastRenderedPageBreak/>
        <w:drawing>
          <wp:inline distT="0" distB="0" distL="0" distR="0">
            <wp:extent cx="5572125" cy="3057525"/>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1EE7" w:rsidRDefault="00FB1EE7"/>
    <w:p w:rsidR="00957B92" w:rsidRDefault="00957B92"/>
    <w:p w:rsidR="00B91E56" w:rsidRPr="00957B92" w:rsidRDefault="00B91E56" w:rsidP="00B91E56">
      <w:r>
        <w:rPr>
          <w:b/>
          <w:bCs/>
        </w:rPr>
        <w:t>Recovery of Electronic Bond Instruction Costs</w:t>
      </w:r>
    </w:p>
    <w:p w:rsidR="00B91E56" w:rsidRPr="00957B92" w:rsidRDefault="00B91E56" w:rsidP="00B91E56">
      <w:r w:rsidRPr="00B91E56">
        <w:t>Almost 50% of firms recover nothing, yet some see fit to recover R550 per transaction!</w:t>
      </w:r>
      <w:r>
        <w:t xml:space="preserve">  The tables below show per institution the lowest, average (blue marker) and highest amounts recovered per instruction for the big four and </w:t>
      </w:r>
      <w:proofErr w:type="gramStart"/>
      <w:r>
        <w:t>Other</w:t>
      </w:r>
      <w:proofErr w:type="gramEnd"/>
      <w:r>
        <w:t xml:space="preserve"> banks.  Responses were insufficient in the last graph in some of the regions to arrive at a meaningful conclusion.</w:t>
      </w:r>
    </w:p>
    <w:p w:rsidR="00B91E56" w:rsidRDefault="00B91E56"/>
    <w:p w:rsidR="00FB1EE7" w:rsidRDefault="00FB1EE7">
      <w:r w:rsidRPr="00FB1EE7">
        <w:drawing>
          <wp:inline distT="0" distB="0" distL="0" distR="0">
            <wp:extent cx="5572125" cy="2962275"/>
            <wp:effectExtent l="19050" t="0" r="9525" b="0"/>
            <wp:docPr id="3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1EE7" w:rsidRDefault="00FB1EE7"/>
    <w:p w:rsidR="004675EF" w:rsidRDefault="004675EF"/>
    <w:p w:rsidR="00FB1EE7" w:rsidRDefault="00FB1EE7">
      <w:r w:rsidRPr="00FB1EE7">
        <w:drawing>
          <wp:inline distT="0" distB="0" distL="0" distR="0">
            <wp:extent cx="5572125" cy="3209925"/>
            <wp:effectExtent l="19050" t="0" r="9525" b="0"/>
            <wp:docPr id="3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1EE7" w:rsidRDefault="00FB1EE7"/>
    <w:p w:rsidR="00B91E56" w:rsidRDefault="00B91E56"/>
    <w:p w:rsidR="00FB1EE7" w:rsidRDefault="00FB1EE7">
      <w:r w:rsidRPr="00FB1EE7">
        <w:drawing>
          <wp:inline distT="0" distB="0" distL="0" distR="0">
            <wp:extent cx="5572125" cy="2971800"/>
            <wp:effectExtent l="19050" t="0" r="9525" b="0"/>
            <wp:docPr id="4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1EE7" w:rsidRDefault="00FB1EE7"/>
    <w:p w:rsidR="004675EF" w:rsidRDefault="004675EF"/>
    <w:p w:rsidR="00FB1EE7" w:rsidRDefault="00FB1EE7">
      <w:r w:rsidRPr="00FB1EE7">
        <w:lastRenderedPageBreak/>
        <w:drawing>
          <wp:inline distT="0" distB="0" distL="0" distR="0">
            <wp:extent cx="5572125" cy="3219450"/>
            <wp:effectExtent l="19050" t="0" r="9525" b="0"/>
            <wp:docPr id="4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1EE7" w:rsidRDefault="00FB1EE7"/>
    <w:p w:rsidR="004675EF" w:rsidRDefault="004675EF"/>
    <w:p w:rsidR="00FB1EE7" w:rsidRDefault="00FB1EE7">
      <w:r w:rsidRPr="00FB1EE7">
        <w:drawing>
          <wp:inline distT="0" distB="0" distL="0" distR="0">
            <wp:extent cx="5553075" cy="3228975"/>
            <wp:effectExtent l="19050" t="0" r="9525" b="0"/>
            <wp:docPr id="4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75EF" w:rsidRDefault="004675EF"/>
    <w:p w:rsidR="004675EF" w:rsidRDefault="004675EF"/>
    <w:p w:rsidR="00177859" w:rsidRDefault="00177859">
      <w:pPr>
        <w:rPr>
          <w:b/>
        </w:rPr>
      </w:pPr>
      <w:proofErr w:type="spellStart"/>
      <w:proofErr w:type="gramStart"/>
      <w:r>
        <w:rPr>
          <w:b/>
        </w:rPr>
        <w:t>Fica</w:t>
      </w:r>
      <w:proofErr w:type="spellEnd"/>
      <w:proofErr w:type="gramEnd"/>
      <w:r>
        <w:rPr>
          <w:b/>
        </w:rPr>
        <w:t xml:space="preserve"> cost recovery</w:t>
      </w:r>
    </w:p>
    <w:p w:rsidR="00177859" w:rsidRDefault="00177859">
      <w:r w:rsidRPr="00177859">
        <w:t xml:space="preserve">Thirty percent of firms do not recover their </w:t>
      </w:r>
      <w:proofErr w:type="spellStart"/>
      <w:proofErr w:type="gramStart"/>
      <w:r w:rsidRPr="00177859">
        <w:t>Fica</w:t>
      </w:r>
      <w:proofErr w:type="spellEnd"/>
      <w:proofErr w:type="gramEnd"/>
      <w:r w:rsidRPr="00177859">
        <w:t xml:space="preserve"> investigation costs.</w:t>
      </w:r>
    </w:p>
    <w:p w:rsidR="00430797" w:rsidRDefault="00430797"/>
    <w:p w:rsidR="004675EF" w:rsidRDefault="004675EF">
      <w:r w:rsidRPr="004675EF">
        <w:drawing>
          <wp:inline distT="0" distB="0" distL="0" distR="0">
            <wp:extent cx="5553075" cy="3219450"/>
            <wp:effectExtent l="19050" t="0" r="9525" b="0"/>
            <wp:docPr id="4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1EE7" w:rsidRDefault="00FB1EE7"/>
    <w:p w:rsidR="00FB1EE7" w:rsidRDefault="00FB1EE7"/>
    <w:p w:rsidR="00FB1EE7" w:rsidRPr="00177859" w:rsidRDefault="00177859">
      <w:pPr>
        <w:rPr>
          <w:b/>
        </w:rPr>
      </w:pPr>
      <w:r>
        <w:rPr>
          <w:b/>
        </w:rPr>
        <w:t>Have you increased the last published conveyancing tariff?</w:t>
      </w:r>
    </w:p>
    <w:p w:rsidR="00FB1EE7" w:rsidRDefault="00FB1EE7"/>
    <w:p w:rsidR="00FB1EE7" w:rsidRDefault="00FB1EE7">
      <w:r>
        <w:rPr>
          <w:noProof/>
          <w:lang w:eastAsia="en-ZA"/>
        </w:rPr>
        <w:drawing>
          <wp:inline distT="0" distB="0" distL="0" distR="0">
            <wp:extent cx="5553075" cy="2905125"/>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75EF" w:rsidRDefault="004675EF"/>
    <w:p w:rsidR="004675EF" w:rsidRDefault="004675EF"/>
    <w:p w:rsidR="00FB1EE7" w:rsidRDefault="00FB1EE7">
      <w:r>
        <w:rPr>
          <w:noProof/>
          <w:lang w:eastAsia="en-ZA"/>
        </w:rPr>
        <w:lastRenderedPageBreak/>
        <w:drawing>
          <wp:inline distT="0" distB="0" distL="0" distR="0">
            <wp:extent cx="5553075" cy="3752850"/>
            <wp:effectExtent l="19050" t="0" r="9525"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0886" w:rsidRDefault="004E0886"/>
    <w:p w:rsidR="00430797" w:rsidRDefault="00430797"/>
    <w:p w:rsidR="00177859" w:rsidRDefault="00281312">
      <w:pPr>
        <w:rPr>
          <w:b/>
        </w:rPr>
      </w:pPr>
      <w:r>
        <w:rPr>
          <w:b/>
        </w:rPr>
        <w:t>F</w:t>
      </w:r>
      <w:r w:rsidR="00177859">
        <w:rPr>
          <w:b/>
        </w:rPr>
        <w:t>ee discounting and transactional billing mark-ups</w:t>
      </w:r>
    </w:p>
    <w:p w:rsidR="00177859" w:rsidRDefault="00177859">
      <w:r w:rsidRPr="00177859">
        <w:t>This is an interesting graph showing that almost 80% of firms discount fees at an average rate of 20% with the highest discount offered being 80%.  87% of firms do not mark-up the transactional billing cost and of the remaining 13%</w:t>
      </w:r>
      <w:r>
        <w:t xml:space="preserve"> who do</w:t>
      </w:r>
      <w:r w:rsidRPr="00177859">
        <w:t xml:space="preserve"> the mark-up is only 17%.</w:t>
      </w:r>
    </w:p>
    <w:p w:rsidR="00281312" w:rsidRDefault="00281312"/>
    <w:p w:rsidR="00281312" w:rsidRDefault="00281312">
      <w:r w:rsidRPr="00281312">
        <w:drawing>
          <wp:inline distT="0" distB="0" distL="0" distR="0">
            <wp:extent cx="5553075" cy="2686050"/>
            <wp:effectExtent l="19050" t="0" r="9525" b="0"/>
            <wp:docPr id="47"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0797" w:rsidRDefault="00430797"/>
    <w:p w:rsidR="00430797" w:rsidRPr="00177859" w:rsidRDefault="00430797"/>
    <w:p w:rsidR="004E0886" w:rsidRDefault="004E0886">
      <w:r w:rsidRPr="004E0886">
        <w:lastRenderedPageBreak/>
        <w:drawing>
          <wp:inline distT="0" distB="0" distL="0" distR="0">
            <wp:extent cx="5553075" cy="3819525"/>
            <wp:effectExtent l="19050" t="0" r="9525" b="0"/>
            <wp:docPr id="4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0886" w:rsidRDefault="004E0886"/>
    <w:tbl>
      <w:tblPr>
        <w:tblStyle w:val="TableGrid"/>
        <w:tblW w:w="0" w:type="auto"/>
        <w:tblInd w:w="915" w:type="dxa"/>
        <w:tblLook w:val="04A0"/>
      </w:tblPr>
      <w:tblGrid>
        <w:gridCol w:w="1766"/>
        <w:gridCol w:w="1680"/>
        <w:gridCol w:w="2410"/>
      </w:tblGrid>
      <w:tr w:rsidR="00281312" w:rsidRPr="00281312" w:rsidTr="00281312">
        <w:trPr>
          <w:trHeight w:val="225"/>
        </w:trPr>
        <w:tc>
          <w:tcPr>
            <w:tcW w:w="5856" w:type="dxa"/>
            <w:gridSpan w:val="3"/>
            <w:noWrap/>
            <w:hideMark/>
          </w:tcPr>
          <w:p w:rsidR="00281312" w:rsidRPr="00281312" w:rsidRDefault="00281312" w:rsidP="00281312">
            <w:pPr>
              <w:rPr>
                <w:b/>
              </w:rPr>
            </w:pPr>
            <w:r w:rsidRPr="00281312">
              <w:rPr>
                <w:b/>
              </w:rPr>
              <w:t>Average fee discounting and transactional billing mark-ups</w:t>
            </w:r>
          </w:p>
        </w:tc>
      </w:tr>
      <w:tr w:rsidR="00281312" w:rsidRPr="00281312" w:rsidTr="00281312">
        <w:trPr>
          <w:trHeight w:val="225"/>
        </w:trPr>
        <w:tc>
          <w:tcPr>
            <w:tcW w:w="1766" w:type="dxa"/>
            <w:noWrap/>
            <w:hideMark/>
          </w:tcPr>
          <w:p w:rsidR="00281312" w:rsidRPr="00281312" w:rsidRDefault="00281312">
            <w:pPr>
              <w:rPr>
                <w:b/>
                <w:bCs/>
              </w:rPr>
            </w:pPr>
          </w:p>
        </w:tc>
        <w:tc>
          <w:tcPr>
            <w:tcW w:w="1680" w:type="dxa"/>
            <w:noWrap/>
            <w:hideMark/>
          </w:tcPr>
          <w:p w:rsidR="00281312" w:rsidRPr="00281312" w:rsidRDefault="00281312" w:rsidP="00281312">
            <w:r>
              <w:t xml:space="preserve">Fee Discount </w:t>
            </w:r>
          </w:p>
        </w:tc>
        <w:tc>
          <w:tcPr>
            <w:tcW w:w="2410" w:type="dxa"/>
            <w:noWrap/>
            <w:hideMark/>
          </w:tcPr>
          <w:p w:rsidR="00281312" w:rsidRPr="00281312" w:rsidRDefault="00281312" w:rsidP="00281312">
            <w:r>
              <w:t>Transactional billing mark-up</w:t>
            </w:r>
          </w:p>
        </w:tc>
      </w:tr>
      <w:tr w:rsidR="00281312" w:rsidRPr="00281312" w:rsidTr="00281312">
        <w:trPr>
          <w:trHeight w:val="225"/>
        </w:trPr>
        <w:tc>
          <w:tcPr>
            <w:tcW w:w="1766" w:type="dxa"/>
            <w:noWrap/>
            <w:hideMark/>
          </w:tcPr>
          <w:p w:rsidR="00281312" w:rsidRPr="00281312" w:rsidRDefault="00281312">
            <w:pPr>
              <w:rPr>
                <w:bCs/>
              </w:rPr>
            </w:pPr>
            <w:r w:rsidRPr="00281312">
              <w:rPr>
                <w:bCs/>
              </w:rPr>
              <w:t>National</w:t>
            </w:r>
          </w:p>
        </w:tc>
        <w:tc>
          <w:tcPr>
            <w:tcW w:w="1680" w:type="dxa"/>
            <w:noWrap/>
            <w:hideMark/>
          </w:tcPr>
          <w:p w:rsidR="00281312" w:rsidRPr="00281312" w:rsidRDefault="00281312" w:rsidP="00281312">
            <w:r w:rsidRPr="00281312">
              <w:t>18</w:t>
            </w:r>
          </w:p>
        </w:tc>
        <w:tc>
          <w:tcPr>
            <w:tcW w:w="2410" w:type="dxa"/>
            <w:noWrap/>
            <w:hideMark/>
          </w:tcPr>
          <w:p w:rsidR="00281312" w:rsidRPr="00281312" w:rsidRDefault="00281312" w:rsidP="00281312">
            <w:r w:rsidRPr="00281312">
              <w:t>17.3</w:t>
            </w:r>
          </w:p>
        </w:tc>
      </w:tr>
      <w:tr w:rsidR="00281312" w:rsidRPr="00281312" w:rsidTr="00281312">
        <w:trPr>
          <w:trHeight w:val="225"/>
        </w:trPr>
        <w:tc>
          <w:tcPr>
            <w:tcW w:w="1766" w:type="dxa"/>
            <w:noWrap/>
            <w:hideMark/>
          </w:tcPr>
          <w:p w:rsidR="00281312" w:rsidRPr="00281312" w:rsidRDefault="00281312">
            <w:pPr>
              <w:rPr>
                <w:bCs/>
              </w:rPr>
            </w:pPr>
            <w:r w:rsidRPr="00281312">
              <w:rPr>
                <w:bCs/>
              </w:rPr>
              <w:t>Bloemfontein</w:t>
            </w:r>
          </w:p>
        </w:tc>
        <w:tc>
          <w:tcPr>
            <w:tcW w:w="1680" w:type="dxa"/>
            <w:noWrap/>
            <w:hideMark/>
          </w:tcPr>
          <w:p w:rsidR="00281312" w:rsidRPr="00281312" w:rsidRDefault="00281312" w:rsidP="00281312">
            <w:r w:rsidRPr="00281312">
              <w:t>18.75</w:t>
            </w:r>
          </w:p>
        </w:tc>
        <w:tc>
          <w:tcPr>
            <w:tcW w:w="2410" w:type="dxa"/>
            <w:noWrap/>
            <w:hideMark/>
          </w:tcPr>
          <w:p w:rsidR="00281312" w:rsidRPr="00281312" w:rsidRDefault="00281312" w:rsidP="00281312">
            <w:r w:rsidRPr="00281312">
              <w:t>12</w:t>
            </w:r>
          </w:p>
        </w:tc>
      </w:tr>
      <w:tr w:rsidR="00281312" w:rsidRPr="00281312" w:rsidTr="00281312">
        <w:trPr>
          <w:trHeight w:val="225"/>
        </w:trPr>
        <w:tc>
          <w:tcPr>
            <w:tcW w:w="1766" w:type="dxa"/>
            <w:noWrap/>
            <w:hideMark/>
          </w:tcPr>
          <w:p w:rsidR="00281312" w:rsidRPr="00281312" w:rsidRDefault="00281312">
            <w:pPr>
              <w:rPr>
                <w:bCs/>
              </w:rPr>
            </w:pPr>
            <w:r w:rsidRPr="00281312">
              <w:rPr>
                <w:bCs/>
              </w:rPr>
              <w:t>Cape Town</w:t>
            </w:r>
          </w:p>
        </w:tc>
        <w:tc>
          <w:tcPr>
            <w:tcW w:w="1680" w:type="dxa"/>
            <w:noWrap/>
            <w:hideMark/>
          </w:tcPr>
          <w:p w:rsidR="00281312" w:rsidRPr="00281312" w:rsidRDefault="00281312" w:rsidP="00281312">
            <w:r w:rsidRPr="00281312">
              <w:t>19.1</w:t>
            </w:r>
          </w:p>
        </w:tc>
        <w:tc>
          <w:tcPr>
            <w:tcW w:w="2410" w:type="dxa"/>
            <w:noWrap/>
            <w:hideMark/>
          </w:tcPr>
          <w:p w:rsidR="00281312" w:rsidRPr="00281312" w:rsidRDefault="00281312" w:rsidP="00281312">
            <w:r w:rsidRPr="00281312">
              <w:t>20</w:t>
            </w:r>
          </w:p>
        </w:tc>
      </w:tr>
      <w:tr w:rsidR="00281312" w:rsidRPr="00281312" w:rsidTr="00281312">
        <w:trPr>
          <w:trHeight w:val="225"/>
        </w:trPr>
        <w:tc>
          <w:tcPr>
            <w:tcW w:w="1766" w:type="dxa"/>
            <w:noWrap/>
            <w:hideMark/>
          </w:tcPr>
          <w:p w:rsidR="00281312" w:rsidRPr="00281312" w:rsidRDefault="00281312">
            <w:pPr>
              <w:rPr>
                <w:bCs/>
              </w:rPr>
            </w:pPr>
            <w:r w:rsidRPr="00281312">
              <w:rPr>
                <w:bCs/>
              </w:rPr>
              <w:t>Durban</w:t>
            </w:r>
          </w:p>
        </w:tc>
        <w:tc>
          <w:tcPr>
            <w:tcW w:w="1680" w:type="dxa"/>
            <w:noWrap/>
            <w:hideMark/>
          </w:tcPr>
          <w:p w:rsidR="00281312" w:rsidRPr="00281312" w:rsidRDefault="00281312" w:rsidP="00281312">
            <w:r w:rsidRPr="00281312">
              <w:t>17.19</w:t>
            </w:r>
          </w:p>
        </w:tc>
        <w:tc>
          <w:tcPr>
            <w:tcW w:w="2410" w:type="dxa"/>
            <w:noWrap/>
            <w:hideMark/>
          </w:tcPr>
          <w:p w:rsidR="00281312" w:rsidRPr="00281312" w:rsidRDefault="00281312" w:rsidP="00281312">
            <w:r w:rsidRPr="00281312">
              <w:t>12.9</w:t>
            </w:r>
          </w:p>
        </w:tc>
      </w:tr>
      <w:tr w:rsidR="00281312" w:rsidRPr="00281312" w:rsidTr="00281312">
        <w:trPr>
          <w:trHeight w:val="225"/>
        </w:trPr>
        <w:tc>
          <w:tcPr>
            <w:tcW w:w="1766" w:type="dxa"/>
            <w:noWrap/>
            <w:hideMark/>
          </w:tcPr>
          <w:p w:rsidR="00281312" w:rsidRPr="00281312" w:rsidRDefault="00281312">
            <w:pPr>
              <w:rPr>
                <w:bCs/>
              </w:rPr>
            </w:pPr>
            <w:proofErr w:type="spellStart"/>
            <w:r w:rsidRPr="00281312">
              <w:rPr>
                <w:bCs/>
              </w:rPr>
              <w:t>Jhb</w:t>
            </w:r>
            <w:proofErr w:type="spellEnd"/>
            <w:r w:rsidRPr="00281312">
              <w:rPr>
                <w:bCs/>
              </w:rPr>
              <w:t xml:space="preserve"> - East</w:t>
            </w:r>
          </w:p>
        </w:tc>
        <w:tc>
          <w:tcPr>
            <w:tcW w:w="1680" w:type="dxa"/>
            <w:noWrap/>
            <w:hideMark/>
          </w:tcPr>
          <w:p w:rsidR="00281312" w:rsidRPr="00281312" w:rsidRDefault="00281312" w:rsidP="00281312">
            <w:r w:rsidRPr="00281312">
              <w:t>15.5</w:t>
            </w:r>
          </w:p>
        </w:tc>
        <w:tc>
          <w:tcPr>
            <w:tcW w:w="2410" w:type="dxa"/>
            <w:noWrap/>
            <w:hideMark/>
          </w:tcPr>
          <w:p w:rsidR="00281312" w:rsidRPr="00281312" w:rsidRDefault="00281312" w:rsidP="00281312">
            <w:r w:rsidRPr="00281312">
              <w:t>5</w:t>
            </w:r>
          </w:p>
        </w:tc>
      </w:tr>
      <w:tr w:rsidR="00281312" w:rsidRPr="00281312" w:rsidTr="00281312">
        <w:trPr>
          <w:trHeight w:val="225"/>
        </w:trPr>
        <w:tc>
          <w:tcPr>
            <w:tcW w:w="1766" w:type="dxa"/>
            <w:noWrap/>
            <w:hideMark/>
          </w:tcPr>
          <w:p w:rsidR="00281312" w:rsidRPr="00281312" w:rsidRDefault="00281312">
            <w:pPr>
              <w:rPr>
                <w:bCs/>
              </w:rPr>
            </w:pPr>
            <w:proofErr w:type="spellStart"/>
            <w:r w:rsidRPr="00281312">
              <w:rPr>
                <w:bCs/>
              </w:rPr>
              <w:t>Jhb</w:t>
            </w:r>
            <w:proofErr w:type="spellEnd"/>
            <w:r w:rsidRPr="00281312">
              <w:rPr>
                <w:bCs/>
              </w:rPr>
              <w:t xml:space="preserve"> - </w:t>
            </w:r>
            <w:proofErr w:type="spellStart"/>
            <w:r w:rsidRPr="00281312">
              <w:rPr>
                <w:bCs/>
              </w:rPr>
              <w:t>Sandton</w:t>
            </w:r>
            <w:proofErr w:type="spellEnd"/>
          </w:p>
        </w:tc>
        <w:tc>
          <w:tcPr>
            <w:tcW w:w="1680" w:type="dxa"/>
            <w:noWrap/>
            <w:hideMark/>
          </w:tcPr>
          <w:p w:rsidR="00281312" w:rsidRPr="00281312" w:rsidRDefault="00281312" w:rsidP="00281312">
            <w:r w:rsidRPr="00281312">
              <w:t>21.4</w:t>
            </w:r>
          </w:p>
        </w:tc>
        <w:tc>
          <w:tcPr>
            <w:tcW w:w="2410" w:type="dxa"/>
            <w:noWrap/>
            <w:hideMark/>
          </w:tcPr>
          <w:p w:rsidR="00281312" w:rsidRPr="00281312" w:rsidRDefault="00281312" w:rsidP="00281312">
            <w:r w:rsidRPr="00281312">
              <w:t>23.7</w:t>
            </w:r>
          </w:p>
        </w:tc>
      </w:tr>
      <w:tr w:rsidR="00281312" w:rsidRPr="00281312" w:rsidTr="00281312">
        <w:trPr>
          <w:trHeight w:val="225"/>
        </w:trPr>
        <w:tc>
          <w:tcPr>
            <w:tcW w:w="1766" w:type="dxa"/>
            <w:noWrap/>
            <w:hideMark/>
          </w:tcPr>
          <w:p w:rsidR="00281312" w:rsidRPr="00281312" w:rsidRDefault="00281312">
            <w:pPr>
              <w:rPr>
                <w:bCs/>
              </w:rPr>
            </w:pPr>
            <w:proofErr w:type="spellStart"/>
            <w:r w:rsidRPr="00281312">
              <w:rPr>
                <w:bCs/>
              </w:rPr>
              <w:t>Jhb</w:t>
            </w:r>
            <w:proofErr w:type="spellEnd"/>
            <w:r w:rsidRPr="00281312">
              <w:rPr>
                <w:bCs/>
              </w:rPr>
              <w:t xml:space="preserve"> - South</w:t>
            </w:r>
          </w:p>
        </w:tc>
        <w:tc>
          <w:tcPr>
            <w:tcW w:w="1680" w:type="dxa"/>
            <w:noWrap/>
            <w:hideMark/>
          </w:tcPr>
          <w:p w:rsidR="00281312" w:rsidRPr="00281312" w:rsidRDefault="00281312" w:rsidP="00281312">
            <w:r w:rsidRPr="00281312">
              <w:t>23.8</w:t>
            </w:r>
          </w:p>
        </w:tc>
        <w:tc>
          <w:tcPr>
            <w:tcW w:w="2410" w:type="dxa"/>
            <w:noWrap/>
            <w:hideMark/>
          </w:tcPr>
          <w:p w:rsidR="00281312" w:rsidRPr="00281312" w:rsidRDefault="00281312" w:rsidP="00281312">
            <w:r w:rsidRPr="00281312">
              <w:t>14</w:t>
            </w:r>
          </w:p>
        </w:tc>
      </w:tr>
      <w:tr w:rsidR="00281312" w:rsidRPr="00281312" w:rsidTr="00281312">
        <w:trPr>
          <w:trHeight w:val="225"/>
        </w:trPr>
        <w:tc>
          <w:tcPr>
            <w:tcW w:w="1766" w:type="dxa"/>
            <w:noWrap/>
            <w:hideMark/>
          </w:tcPr>
          <w:p w:rsidR="00281312" w:rsidRPr="00281312" w:rsidRDefault="00281312">
            <w:pPr>
              <w:rPr>
                <w:bCs/>
              </w:rPr>
            </w:pPr>
            <w:proofErr w:type="spellStart"/>
            <w:r w:rsidRPr="00281312">
              <w:rPr>
                <w:bCs/>
              </w:rPr>
              <w:t>Jhb</w:t>
            </w:r>
            <w:proofErr w:type="spellEnd"/>
            <w:r w:rsidRPr="00281312">
              <w:rPr>
                <w:bCs/>
              </w:rPr>
              <w:t xml:space="preserve"> - West</w:t>
            </w:r>
          </w:p>
        </w:tc>
        <w:tc>
          <w:tcPr>
            <w:tcW w:w="1680" w:type="dxa"/>
            <w:noWrap/>
            <w:hideMark/>
          </w:tcPr>
          <w:p w:rsidR="00281312" w:rsidRPr="00281312" w:rsidRDefault="00281312" w:rsidP="00281312">
            <w:r w:rsidRPr="00281312">
              <w:t>18.7</w:t>
            </w:r>
          </w:p>
        </w:tc>
        <w:tc>
          <w:tcPr>
            <w:tcW w:w="2410" w:type="dxa"/>
            <w:noWrap/>
            <w:hideMark/>
          </w:tcPr>
          <w:p w:rsidR="00281312" w:rsidRPr="00281312" w:rsidRDefault="00281312" w:rsidP="00281312">
            <w:r w:rsidRPr="00281312">
              <w:t>33.9</w:t>
            </w:r>
          </w:p>
        </w:tc>
      </w:tr>
      <w:tr w:rsidR="00281312" w:rsidRPr="00281312" w:rsidTr="00281312">
        <w:trPr>
          <w:trHeight w:val="225"/>
        </w:trPr>
        <w:tc>
          <w:tcPr>
            <w:tcW w:w="1766" w:type="dxa"/>
            <w:noWrap/>
            <w:hideMark/>
          </w:tcPr>
          <w:p w:rsidR="00281312" w:rsidRPr="00281312" w:rsidRDefault="00281312">
            <w:pPr>
              <w:rPr>
                <w:bCs/>
              </w:rPr>
            </w:pPr>
            <w:proofErr w:type="spellStart"/>
            <w:r w:rsidRPr="00281312">
              <w:rPr>
                <w:bCs/>
              </w:rPr>
              <w:t>Neslpruit</w:t>
            </w:r>
            <w:proofErr w:type="spellEnd"/>
          </w:p>
        </w:tc>
        <w:tc>
          <w:tcPr>
            <w:tcW w:w="1680" w:type="dxa"/>
            <w:noWrap/>
            <w:hideMark/>
          </w:tcPr>
          <w:p w:rsidR="00281312" w:rsidRPr="00281312" w:rsidRDefault="00281312" w:rsidP="00281312">
            <w:r w:rsidRPr="00281312">
              <w:t>14.58</w:t>
            </w:r>
          </w:p>
        </w:tc>
        <w:tc>
          <w:tcPr>
            <w:tcW w:w="2410" w:type="dxa"/>
            <w:noWrap/>
            <w:hideMark/>
          </w:tcPr>
          <w:p w:rsidR="00281312" w:rsidRPr="00281312" w:rsidRDefault="00281312" w:rsidP="00281312">
            <w:r w:rsidRPr="00281312">
              <w:t>0</w:t>
            </w:r>
          </w:p>
        </w:tc>
      </w:tr>
      <w:tr w:rsidR="00281312" w:rsidRPr="00281312" w:rsidTr="00281312">
        <w:trPr>
          <w:trHeight w:val="225"/>
        </w:trPr>
        <w:tc>
          <w:tcPr>
            <w:tcW w:w="1766" w:type="dxa"/>
            <w:noWrap/>
            <w:hideMark/>
          </w:tcPr>
          <w:p w:rsidR="00281312" w:rsidRPr="00281312" w:rsidRDefault="00281312">
            <w:pPr>
              <w:rPr>
                <w:bCs/>
              </w:rPr>
            </w:pPr>
            <w:r w:rsidRPr="00281312">
              <w:rPr>
                <w:bCs/>
              </w:rPr>
              <w:t>PE/EL</w:t>
            </w:r>
          </w:p>
        </w:tc>
        <w:tc>
          <w:tcPr>
            <w:tcW w:w="1680" w:type="dxa"/>
            <w:noWrap/>
            <w:hideMark/>
          </w:tcPr>
          <w:p w:rsidR="00281312" w:rsidRPr="00281312" w:rsidRDefault="00281312" w:rsidP="00281312">
            <w:r w:rsidRPr="00281312">
              <w:t>16</w:t>
            </w:r>
          </w:p>
        </w:tc>
        <w:tc>
          <w:tcPr>
            <w:tcW w:w="2410" w:type="dxa"/>
            <w:noWrap/>
            <w:hideMark/>
          </w:tcPr>
          <w:p w:rsidR="00281312" w:rsidRPr="00281312" w:rsidRDefault="00281312" w:rsidP="00281312">
            <w:r w:rsidRPr="00281312">
              <w:t>25</w:t>
            </w:r>
          </w:p>
        </w:tc>
      </w:tr>
      <w:tr w:rsidR="00281312" w:rsidRPr="00281312" w:rsidTr="00281312">
        <w:trPr>
          <w:trHeight w:val="225"/>
        </w:trPr>
        <w:tc>
          <w:tcPr>
            <w:tcW w:w="1766" w:type="dxa"/>
            <w:noWrap/>
            <w:hideMark/>
          </w:tcPr>
          <w:p w:rsidR="00281312" w:rsidRPr="00281312" w:rsidRDefault="00281312">
            <w:pPr>
              <w:rPr>
                <w:bCs/>
              </w:rPr>
            </w:pPr>
            <w:r w:rsidRPr="00281312">
              <w:rPr>
                <w:bCs/>
              </w:rPr>
              <w:t>Pietermaritzburg</w:t>
            </w:r>
          </w:p>
        </w:tc>
        <w:tc>
          <w:tcPr>
            <w:tcW w:w="1680" w:type="dxa"/>
            <w:noWrap/>
            <w:hideMark/>
          </w:tcPr>
          <w:p w:rsidR="00281312" w:rsidRPr="00281312" w:rsidRDefault="00281312" w:rsidP="00281312">
            <w:r w:rsidRPr="00281312">
              <w:t>17.7</w:t>
            </w:r>
          </w:p>
        </w:tc>
        <w:tc>
          <w:tcPr>
            <w:tcW w:w="2410" w:type="dxa"/>
            <w:noWrap/>
            <w:hideMark/>
          </w:tcPr>
          <w:p w:rsidR="00281312" w:rsidRPr="00281312" w:rsidRDefault="00281312" w:rsidP="00281312">
            <w:r w:rsidRPr="00281312">
              <w:t>9</w:t>
            </w:r>
          </w:p>
        </w:tc>
      </w:tr>
      <w:tr w:rsidR="00281312" w:rsidRPr="00281312" w:rsidTr="00281312">
        <w:trPr>
          <w:trHeight w:val="225"/>
        </w:trPr>
        <w:tc>
          <w:tcPr>
            <w:tcW w:w="1766" w:type="dxa"/>
            <w:noWrap/>
            <w:hideMark/>
          </w:tcPr>
          <w:p w:rsidR="00281312" w:rsidRPr="00281312" w:rsidRDefault="00281312">
            <w:pPr>
              <w:rPr>
                <w:bCs/>
              </w:rPr>
            </w:pPr>
            <w:proofErr w:type="spellStart"/>
            <w:r w:rsidRPr="00281312">
              <w:rPr>
                <w:bCs/>
              </w:rPr>
              <w:t>Polokwane</w:t>
            </w:r>
            <w:proofErr w:type="spellEnd"/>
          </w:p>
        </w:tc>
        <w:tc>
          <w:tcPr>
            <w:tcW w:w="1680" w:type="dxa"/>
            <w:noWrap/>
            <w:hideMark/>
          </w:tcPr>
          <w:p w:rsidR="00281312" w:rsidRPr="00281312" w:rsidRDefault="00281312" w:rsidP="00281312">
            <w:r w:rsidRPr="00281312">
              <w:t>18</w:t>
            </w:r>
          </w:p>
        </w:tc>
        <w:tc>
          <w:tcPr>
            <w:tcW w:w="2410" w:type="dxa"/>
            <w:noWrap/>
            <w:hideMark/>
          </w:tcPr>
          <w:p w:rsidR="00281312" w:rsidRPr="00281312" w:rsidRDefault="00281312" w:rsidP="00281312">
            <w:r w:rsidRPr="00281312">
              <w:t>10</w:t>
            </w:r>
          </w:p>
        </w:tc>
      </w:tr>
      <w:tr w:rsidR="00281312" w:rsidRPr="00281312" w:rsidTr="00281312">
        <w:trPr>
          <w:trHeight w:val="225"/>
        </w:trPr>
        <w:tc>
          <w:tcPr>
            <w:tcW w:w="1766" w:type="dxa"/>
            <w:noWrap/>
            <w:hideMark/>
          </w:tcPr>
          <w:p w:rsidR="00281312" w:rsidRPr="00281312" w:rsidRDefault="00281312">
            <w:pPr>
              <w:rPr>
                <w:bCs/>
              </w:rPr>
            </w:pPr>
            <w:r w:rsidRPr="00281312">
              <w:rPr>
                <w:bCs/>
              </w:rPr>
              <w:t>Potchefstroom</w:t>
            </w:r>
          </w:p>
        </w:tc>
        <w:tc>
          <w:tcPr>
            <w:tcW w:w="1680" w:type="dxa"/>
            <w:noWrap/>
            <w:hideMark/>
          </w:tcPr>
          <w:p w:rsidR="00281312" w:rsidRPr="00281312" w:rsidRDefault="00281312" w:rsidP="00281312">
            <w:r w:rsidRPr="00281312">
              <w:t>12.3</w:t>
            </w:r>
          </w:p>
        </w:tc>
        <w:tc>
          <w:tcPr>
            <w:tcW w:w="2410" w:type="dxa"/>
            <w:noWrap/>
            <w:hideMark/>
          </w:tcPr>
          <w:p w:rsidR="00281312" w:rsidRPr="00281312" w:rsidRDefault="00281312" w:rsidP="00281312">
            <w:r w:rsidRPr="00281312">
              <w:t>0</w:t>
            </w:r>
          </w:p>
        </w:tc>
      </w:tr>
      <w:tr w:rsidR="00281312" w:rsidRPr="00281312" w:rsidTr="00281312">
        <w:trPr>
          <w:trHeight w:val="225"/>
        </w:trPr>
        <w:tc>
          <w:tcPr>
            <w:tcW w:w="1766" w:type="dxa"/>
            <w:noWrap/>
            <w:hideMark/>
          </w:tcPr>
          <w:p w:rsidR="00281312" w:rsidRPr="00281312" w:rsidRDefault="00281312">
            <w:pPr>
              <w:rPr>
                <w:bCs/>
              </w:rPr>
            </w:pPr>
            <w:r w:rsidRPr="00281312">
              <w:rPr>
                <w:bCs/>
              </w:rPr>
              <w:t>Pretoria</w:t>
            </w:r>
          </w:p>
        </w:tc>
        <w:tc>
          <w:tcPr>
            <w:tcW w:w="1680" w:type="dxa"/>
            <w:noWrap/>
            <w:hideMark/>
          </w:tcPr>
          <w:p w:rsidR="00281312" w:rsidRPr="00281312" w:rsidRDefault="00281312" w:rsidP="00281312">
            <w:r w:rsidRPr="00281312">
              <w:t>19.1</w:t>
            </w:r>
          </w:p>
        </w:tc>
        <w:tc>
          <w:tcPr>
            <w:tcW w:w="2410" w:type="dxa"/>
            <w:noWrap/>
            <w:hideMark/>
          </w:tcPr>
          <w:p w:rsidR="00281312" w:rsidRPr="00281312" w:rsidRDefault="00281312" w:rsidP="00281312">
            <w:r w:rsidRPr="00281312">
              <w:t>14.1</w:t>
            </w:r>
          </w:p>
        </w:tc>
      </w:tr>
      <w:tr w:rsidR="00281312" w:rsidRPr="00281312" w:rsidTr="00281312">
        <w:trPr>
          <w:trHeight w:val="225"/>
        </w:trPr>
        <w:tc>
          <w:tcPr>
            <w:tcW w:w="1766" w:type="dxa"/>
            <w:noWrap/>
            <w:hideMark/>
          </w:tcPr>
          <w:p w:rsidR="00281312" w:rsidRPr="00281312" w:rsidRDefault="00281312"/>
        </w:tc>
        <w:tc>
          <w:tcPr>
            <w:tcW w:w="1680" w:type="dxa"/>
            <w:noWrap/>
            <w:hideMark/>
          </w:tcPr>
          <w:p w:rsidR="00281312" w:rsidRPr="00281312" w:rsidRDefault="00281312"/>
        </w:tc>
        <w:tc>
          <w:tcPr>
            <w:tcW w:w="2410" w:type="dxa"/>
            <w:noWrap/>
            <w:hideMark/>
          </w:tcPr>
          <w:p w:rsidR="00281312" w:rsidRPr="00281312" w:rsidRDefault="00281312"/>
        </w:tc>
      </w:tr>
    </w:tbl>
    <w:p w:rsidR="004E0886" w:rsidRDefault="004E0886"/>
    <w:p w:rsidR="00281312" w:rsidRDefault="00281312"/>
    <w:p w:rsidR="00281312" w:rsidRDefault="00281312">
      <w:pPr>
        <w:rPr>
          <w:b/>
        </w:rPr>
      </w:pPr>
      <w:r>
        <w:rPr>
          <w:b/>
        </w:rPr>
        <w:t>Conveyancer/Secretary ratio</w:t>
      </w:r>
    </w:p>
    <w:p w:rsidR="00281312" w:rsidRDefault="00281312">
      <w:r>
        <w:t>The average has moved from over 2 secretaries per conveyancer since our first survey in 2005.</w:t>
      </w:r>
    </w:p>
    <w:p w:rsidR="00430797" w:rsidRPr="00281312" w:rsidRDefault="00430797"/>
    <w:p w:rsidR="00FB1EE7" w:rsidRDefault="00FB1EE7">
      <w:r>
        <w:rPr>
          <w:noProof/>
          <w:lang w:eastAsia="en-ZA"/>
        </w:rPr>
        <w:lastRenderedPageBreak/>
        <w:drawing>
          <wp:inline distT="0" distB="0" distL="0" distR="0">
            <wp:extent cx="5572125" cy="3228975"/>
            <wp:effectExtent l="19050" t="0" r="9525"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B1EE7" w:rsidRDefault="00FB1EE7"/>
    <w:p w:rsidR="00281312" w:rsidRDefault="00281312"/>
    <w:p w:rsidR="00281312" w:rsidRDefault="00281312">
      <w:pPr>
        <w:rPr>
          <w:b/>
        </w:rPr>
      </w:pPr>
      <w:r>
        <w:rPr>
          <w:b/>
        </w:rPr>
        <w:t>Salaries of conveyancing secretaries</w:t>
      </w:r>
    </w:p>
    <w:p w:rsidR="00281312" w:rsidRPr="00281312" w:rsidRDefault="00281312" w:rsidP="00281312">
      <w:r w:rsidRPr="00281312">
        <w:t xml:space="preserve">Interesting and worthy maybe of a survey by itself, on average secretaries in </w:t>
      </w:r>
      <w:proofErr w:type="spellStart"/>
      <w:r w:rsidRPr="00281312">
        <w:t>Sandton</w:t>
      </w:r>
      <w:proofErr w:type="spellEnd"/>
      <w:r w:rsidRPr="00281312">
        <w:t xml:space="preserve"> do well, yet the average matters lodged per month or which are active are in line with the natio</w:t>
      </w:r>
      <w:r w:rsidR="00480A1B">
        <w:t>nal average.</w:t>
      </w:r>
    </w:p>
    <w:p w:rsidR="00281312" w:rsidRPr="00281312" w:rsidRDefault="00281312"/>
    <w:p w:rsidR="00FB1EE7" w:rsidRDefault="00FB1EE7">
      <w:r>
        <w:rPr>
          <w:noProof/>
          <w:lang w:eastAsia="en-ZA"/>
        </w:rPr>
        <w:lastRenderedPageBreak/>
        <w:drawing>
          <wp:inline distT="0" distB="0" distL="0" distR="0">
            <wp:extent cx="5572125" cy="5514975"/>
            <wp:effectExtent l="19050" t="0" r="9525"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B1EE7" w:rsidRDefault="00FB1EE7">
      <w:r>
        <w:rPr>
          <w:noProof/>
          <w:lang w:eastAsia="en-ZA"/>
        </w:rPr>
        <w:lastRenderedPageBreak/>
        <w:drawing>
          <wp:inline distT="0" distB="0" distL="0" distR="0">
            <wp:extent cx="5543550" cy="5895975"/>
            <wp:effectExtent l="19050" t="0" r="1905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B1EE7" w:rsidRDefault="00FB1EE7"/>
    <w:p w:rsidR="00FB1EE7" w:rsidRDefault="00FB1EE7"/>
    <w:p w:rsidR="00430797" w:rsidRDefault="00430797"/>
    <w:p w:rsidR="00430797" w:rsidRDefault="00430797"/>
    <w:p w:rsidR="00430797" w:rsidRDefault="00430797"/>
    <w:p w:rsidR="00430797" w:rsidRDefault="00430797"/>
    <w:p w:rsidR="00430797" w:rsidRDefault="00430797"/>
    <w:p w:rsidR="00430797" w:rsidRDefault="00430797"/>
    <w:p w:rsidR="00430797" w:rsidRDefault="00430797"/>
    <w:p w:rsidR="00FB1EE7" w:rsidRDefault="00480A1B">
      <w:pPr>
        <w:rPr>
          <w:b/>
        </w:rPr>
      </w:pPr>
      <w:r>
        <w:rPr>
          <w:b/>
        </w:rPr>
        <w:t>Matters lodged per secretary per month</w:t>
      </w:r>
      <w:r w:rsidR="00430797">
        <w:rPr>
          <w:b/>
        </w:rPr>
        <w:t xml:space="preserve"> and Active matters per secretary per month</w:t>
      </w:r>
    </w:p>
    <w:p w:rsidR="00480A1B" w:rsidRPr="00480A1B" w:rsidRDefault="00480A1B">
      <w:pPr>
        <w:rPr>
          <w:b/>
        </w:rPr>
      </w:pPr>
    </w:p>
    <w:p w:rsidR="00FB1EE7" w:rsidRDefault="00FB1EE7">
      <w:r>
        <w:rPr>
          <w:noProof/>
          <w:lang w:eastAsia="en-ZA"/>
        </w:rPr>
        <w:lastRenderedPageBreak/>
        <w:drawing>
          <wp:inline distT="0" distB="0" distL="0" distR="0">
            <wp:extent cx="5572125" cy="3219450"/>
            <wp:effectExtent l="19050" t="0" r="9525" b="0"/>
            <wp:docPr id="31"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E0886" w:rsidRDefault="004E0886"/>
    <w:p w:rsidR="004E0886" w:rsidRDefault="004E0886"/>
    <w:p w:rsidR="00FB1EE7" w:rsidRDefault="00FB1EE7">
      <w:r>
        <w:rPr>
          <w:noProof/>
          <w:lang w:eastAsia="en-ZA"/>
        </w:rPr>
        <w:drawing>
          <wp:inline distT="0" distB="0" distL="0" distR="0">
            <wp:extent cx="5572125" cy="3190875"/>
            <wp:effectExtent l="19050" t="0" r="9525" b="0"/>
            <wp:docPr id="32"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E3FEF" w:rsidRDefault="00CE3FEF" w:rsidP="00CE3FEF">
      <w:pPr>
        <w:rPr>
          <w:b/>
          <w:bCs/>
        </w:rPr>
      </w:pPr>
    </w:p>
    <w:p w:rsidR="00430797" w:rsidRDefault="00430797" w:rsidP="00CE3FEF">
      <w:pPr>
        <w:rPr>
          <w:b/>
          <w:bCs/>
        </w:rPr>
      </w:pPr>
    </w:p>
    <w:p w:rsidR="00430797" w:rsidRDefault="00430797" w:rsidP="00CE3FEF">
      <w:pPr>
        <w:rPr>
          <w:b/>
          <w:bCs/>
        </w:rPr>
      </w:pPr>
    </w:p>
    <w:p w:rsidR="00CE3FEF" w:rsidRPr="00CE3FEF" w:rsidRDefault="00CE3FEF" w:rsidP="00CE3FEF">
      <w:pPr>
        <w:rPr>
          <w:b/>
          <w:bCs/>
        </w:rPr>
      </w:pPr>
      <w:r w:rsidRPr="00CE3FEF">
        <w:rPr>
          <w:b/>
          <w:bCs/>
        </w:rPr>
        <w:t>Incentivising</w:t>
      </w:r>
    </w:p>
    <w:p w:rsidR="00CE3FEF" w:rsidRPr="00CE3FEF" w:rsidRDefault="00CE3FEF" w:rsidP="00CE3FEF">
      <w:pPr>
        <w:rPr>
          <w:bCs/>
        </w:rPr>
      </w:pPr>
      <w:r w:rsidRPr="00CE3FEF">
        <w:rPr>
          <w:bCs/>
        </w:rPr>
        <w:t>Less than 20% of firms incentivise, so no graph is necessary.</w:t>
      </w:r>
    </w:p>
    <w:p w:rsidR="00CE3FEF" w:rsidRDefault="00CE3FEF" w:rsidP="00CE3FEF">
      <w:pPr>
        <w:rPr>
          <w:b/>
          <w:bCs/>
        </w:rPr>
      </w:pPr>
    </w:p>
    <w:p w:rsidR="00CE3FEF" w:rsidRPr="00CE3FEF" w:rsidRDefault="00CE3FEF" w:rsidP="00CE3FEF">
      <w:pPr>
        <w:rPr>
          <w:b/>
          <w:bCs/>
        </w:rPr>
      </w:pPr>
      <w:r w:rsidRPr="00CE3FEF">
        <w:rPr>
          <w:b/>
          <w:bCs/>
        </w:rPr>
        <w:t>Downturn</w:t>
      </w:r>
    </w:p>
    <w:p w:rsidR="00CE3FEF" w:rsidRPr="00CE3FEF" w:rsidRDefault="00CE3FEF" w:rsidP="00CE3FEF">
      <w:pPr>
        <w:rPr>
          <w:bCs/>
        </w:rPr>
      </w:pPr>
      <w:r w:rsidRPr="00CE3FEF">
        <w:rPr>
          <w:bCs/>
        </w:rPr>
        <w:lastRenderedPageBreak/>
        <w:t>Almost all firms have had a downturn.</w:t>
      </w:r>
    </w:p>
    <w:p w:rsidR="00683895" w:rsidRDefault="00683895"/>
    <w:p w:rsidR="00480A1B" w:rsidRDefault="00480A1B">
      <w:pPr>
        <w:rPr>
          <w:b/>
        </w:rPr>
      </w:pPr>
      <w:r>
        <w:rPr>
          <w:b/>
        </w:rPr>
        <w:t>Other comments, notes and conclusions</w:t>
      </w:r>
    </w:p>
    <w:p w:rsidR="000F5CF5" w:rsidRPr="00430797" w:rsidRDefault="000F5CF5">
      <w:r w:rsidRPr="00430797">
        <w:t>I have included the following comments and notes from respondents to stimulate some debate and more contributions about future surveys.</w:t>
      </w:r>
    </w:p>
    <w:p w:rsidR="00480A1B" w:rsidRPr="000F5CF5" w:rsidRDefault="00D9516B">
      <w:pPr>
        <w:rPr>
          <w:i/>
        </w:rPr>
      </w:pPr>
      <w:r w:rsidRPr="000F5CF5">
        <w:rPr>
          <w:i/>
        </w:rPr>
        <w:t xml:space="preserve">Die </w:t>
      </w:r>
      <w:proofErr w:type="spellStart"/>
      <w:r w:rsidRPr="000F5CF5">
        <w:rPr>
          <w:i/>
        </w:rPr>
        <w:t>probleem</w:t>
      </w:r>
      <w:proofErr w:type="spellEnd"/>
      <w:r w:rsidRPr="000F5CF5">
        <w:rPr>
          <w:i/>
        </w:rPr>
        <w:t xml:space="preserve"> in die </w:t>
      </w:r>
      <w:proofErr w:type="spellStart"/>
      <w:r w:rsidRPr="000F5CF5">
        <w:rPr>
          <w:i/>
        </w:rPr>
        <w:t>professie</w:t>
      </w:r>
      <w:proofErr w:type="spellEnd"/>
      <w:r w:rsidRPr="000F5CF5">
        <w:rPr>
          <w:i/>
        </w:rPr>
        <w:t xml:space="preserve"> met transport </w:t>
      </w:r>
      <w:proofErr w:type="spellStart"/>
      <w:r w:rsidRPr="000F5CF5">
        <w:rPr>
          <w:i/>
        </w:rPr>
        <w:t>werk</w:t>
      </w:r>
      <w:proofErr w:type="spellEnd"/>
      <w:r w:rsidRPr="000F5CF5">
        <w:rPr>
          <w:i/>
        </w:rPr>
        <w:t xml:space="preserve"> is </w:t>
      </w:r>
      <w:proofErr w:type="spellStart"/>
      <w:r w:rsidRPr="000F5CF5">
        <w:rPr>
          <w:i/>
        </w:rPr>
        <w:t>dat</w:t>
      </w:r>
      <w:proofErr w:type="spellEnd"/>
      <w:r w:rsidRPr="000F5CF5">
        <w:rPr>
          <w:i/>
        </w:rPr>
        <w:t xml:space="preserve"> die </w:t>
      </w:r>
      <w:proofErr w:type="spellStart"/>
      <w:r w:rsidRPr="000F5CF5">
        <w:rPr>
          <w:i/>
        </w:rPr>
        <w:t>eiendomsagent</w:t>
      </w:r>
      <w:proofErr w:type="spellEnd"/>
      <w:r w:rsidRPr="000F5CF5">
        <w:rPr>
          <w:i/>
        </w:rPr>
        <w:t xml:space="preserve"> </w:t>
      </w:r>
      <w:proofErr w:type="gramStart"/>
      <w:r w:rsidRPr="000F5CF5">
        <w:rPr>
          <w:i/>
        </w:rPr>
        <w:t>in  90</w:t>
      </w:r>
      <w:proofErr w:type="gramEnd"/>
      <w:r w:rsidRPr="000F5CF5">
        <w:rPr>
          <w:i/>
        </w:rPr>
        <w:t xml:space="preserve">% van die </w:t>
      </w:r>
      <w:proofErr w:type="spellStart"/>
      <w:r w:rsidRPr="000F5CF5">
        <w:rPr>
          <w:i/>
        </w:rPr>
        <w:t>gevalle</w:t>
      </w:r>
      <w:proofErr w:type="spellEnd"/>
      <w:r w:rsidRPr="000F5CF5">
        <w:rPr>
          <w:i/>
        </w:rPr>
        <w:t xml:space="preserve"> die transport </w:t>
      </w:r>
      <w:proofErr w:type="spellStart"/>
      <w:r w:rsidRPr="000F5CF5">
        <w:rPr>
          <w:i/>
        </w:rPr>
        <w:t>prokureur</w:t>
      </w:r>
      <w:proofErr w:type="spellEnd"/>
      <w:r w:rsidRPr="000F5CF5">
        <w:rPr>
          <w:i/>
        </w:rPr>
        <w:t xml:space="preserve"> </w:t>
      </w:r>
      <w:proofErr w:type="spellStart"/>
      <w:r w:rsidRPr="000F5CF5">
        <w:rPr>
          <w:i/>
        </w:rPr>
        <w:t>aanwys</w:t>
      </w:r>
      <w:proofErr w:type="spellEnd"/>
      <w:r w:rsidRPr="000F5CF5">
        <w:rPr>
          <w:i/>
        </w:rPr>
        <w:t xml:space="preserve">. Die </w:t>
      </w:r>
      <w:proofErr w:type="spellStart"/>
      <w:r w:rsidRPr="000F5CF5">
        <w:rPr>
          <w:i/>
        </w:rPr>
        <w:t>feit</w:t>
      </w:r>
      <w:proofErr w:type="spellEnd"/>
      <w:r w:rsidRPr="000F5CF5">
        <w:rPr>
          <w:i/>
        </w:rPr>
        <w:t xml:space="preserve"> </w:t>
      </w:r>
      <w:proofErr w:type="spellStart"/>
      <w:r w:rsidRPr="000F5CF5">
        <w:rPr>
          <w:i/>
        </w:rPr>
        <w:t>dat</w:t>
      </w:r>
      <w:proofErr w:type="spellEnd"/>
      <w:r w:rsidRPr="000F5CF5">
        <w:rPr>
          <w:i/>
        </w:rPr>
        <w:t xml:space="preserve"> die </w:t>
      </w:r>
      <w:proofErr w:type="spellStart"/>
      <w:r w:rsidRPr="000F5CF5">
        <w:rPr>
          <w:i/>
        </w:rPr>
        <w:t>Verkoper</w:t>
      </w:r>
      <w:proofErr w:type="spellEnd"/>
      <w:r w:rsidRPr="000F5CF5">
        <w:rPr>
          <w:i/>
        </w:rPr>
        <w:t xml:space="preserve"> die </w:t>
      </w:r>
      <w:proofErr w:type="spellStart"/>
      <w:r w:rsidRPr="000F5CF5">
        <w:rPr>
          <w:i/>
        </w:rPr>
        <w:t>reg</w:t>
      </w:r>
      <w:proofErr w:type="spellEnd"/>
      <w:r w:rsidRPr="000F5CF5">
        <w:rPr>
          <w:i/>
        </w:rPr>
        <w:t xml:space="preserve"> het </w:t>
      </w:r>
      <w:proofErr w:type="spellStart"/>
      <w:proofErr w:type="gramStart"/>
      <w:r w:rsidRPr="000F5CF5">
        <w:rPr>
          <w:i/>
        </w:rPr>
        <w:t>om</w:t>
      </w:r>
      <w:proofErr w:type="spellEnd"/>
      <w:proofErr w:type="gramEnd"/>
      <w:r w:rsidRPr="000F5CF5">
        <w:rPr>
          <w:i/>
        </w:rPr>
        <w:t xml:space="preserve"> </w:t>
      </w:r>
      <w:proofErr w:type="spellStart"/>
      <w:r w:rsidRPr="000F5CF5">
        <w:rPr>
          <w:i/>
        </w:rPr>
        <w:t>een</w:t>
      </w:r>
      <w:proofErr w:type="spellEnd"/>
      <w:r w:rsidRPr="000F5CF5">
        <w:rPr>
          <w:i/>
        </w:rPr>
        <w:t xml:space="preserve"> </w:t>
      </w:r>
      <w:proofErr w:type="spellStart"/>
      <w:r w:rsidRPr="000F5CF5">
        <w:rPr>
          <w:i/>
        </w:rPr>
        <w:t>aan</w:t>
      </w:r>
      <w:proofErr w:type="spellEnd"/>
      <w:r w:rsidRPr="000F5CF5">
        <w:rPr>
          <w:i/>
        </w:rPr>
        <w:t xml:space="preserve"> </w:t>
      </w:r>
      <w:proofErr w:type="spellStart"/>
      <w:r w:rsidRPr="000F5CF5">
        <w:rPr>
          <w:i/>
        </w:rPr>
        <w:t>te</w:t>
      </w:r>
      <w:proofErr w:type="spellEnd"/>
      <w:r w:rsidRPr="000F5CF5">
        <w:rPr>
          <w:i/>
        </w:rPr>
        <w:t xml:space="preserve"> </w:t>
      </w:r>
      <w:proofErr w:type="spellStart"/>
      <w:r w:rsidRPr="000F5CF5">
        <w:rPr>
          <w:i/>
        </w:rPr>
        <w:t>wys</w:t>
      </w:r>
      <w:proofErr w:type="spellEnd"/>
      <w:r w:rsidRPr="000F5CF5">
        <w:rPr>
          <w:i/>
        </w:rPr>
        <w:t xml:space="preserve"> is 'n </w:t>
      </w:r>
      <w:proofErr w:type="spellStart"/>
      <w:r w:rsidRPr="000F5CF5">
        <w:rPr>
          <w:i/>
        </w:rPr>
        <w:t>klug</w:t>
      </w:r>
      <w:proofErr w:type="spellEnd"/>
      <w:r w:rsidRPr="000F5CF5">
        <w:rPr>
          <w:i/>
        </w:rPr>
        <w:t xml:space="preserve">. Die </w:t>
      </w:r>
      <w:proofErr w:type="spellStart"/>
      <w:r w:rsidRPr="000F5CF5">
        <w:rPr>
          <w:i/>
        </w:rPr>
        <w:t>prokureur</w:t>
      </w:r>
      <w:proofErr w:type="spellEnd"/>
      <w:r w:rsidRPr="000F5CF5">
        <w:rPr>
          <w:i/>
        </w:rPr>
        <w:t xml:space="preserve"> </w:t>
      </w:r>
      <w:proofErr w:type="spellStart"/>
      <w:r w:rsidRPr="000F5CF5">
        <w:rPr>
          <w:i/>
        </w:rPr>
        <w:t>wat</w:t>
      </w:r>
      <w:proofErr w:type="spellEnd"/>
      <w:r w:rsidRPr="000F5CF5">
        <w:rPr>
          <w:i/>
        </w:rPr>
        <w:t xml:space="preserve"> </w:t>
      </w:r>
      <w:proofErr w:type="spellStart"/>
      <w:r w:rsidRPr="000F5CF5">
        <w:rPr>
          <w:i/>
        </w:rPr>
        <w:t>dus</w:t>
      </w:r>
      <w:proofErr w:type="spellEnd"/>
      <w:r w:rsidRPr="000F5CF5">
        <w:rPr>
          <w:i/>
        </w:rPr>
        <w:t xml:space="preserve"> die </w:t>
      </w:r>
      <w:proofErr w:type="spellStart"/>
      <w:r w:rsidRPr="000F5CF5">
        <w:rPr>
          <w:i/>
        </w:rPr>
        <w:t>agente</w:t>
      </w:r>
      <w:proofErr w:type="spellEnd"/>
      <w:r w:rsidRPr="000F5CF5">
        <w:rPr>
          <w:i/>
        </w:rPr>
        <w:t xml:space="preserve"> die </w:t>
      </w:r>
      <w:proofErr w:type="spellStart"/>
      <w:r w:rsidRPr="000F5CF5">
        <w:rPr>
          <w:i/>
        </w:rPr>
        <w:t>beste</w:t>
      </w:r>
      <w:proofErr w:type="spellEnd"/>
      <w:r w:rsidRPr="000F5CF5">
        <w:rPr>
          <w:i/>
        </w:rPr>
        <w:t xml:space="preserve"> </w:t>
      </w:r>
      <w:proofErr w:type="spellStart"/>
      <w:proofErr w:type="gramStart"/>
      <w:r w:rsidRPr="000F5CF5">
        <w:rPr>
          <w:i/>
        </w:rPr>
        <w:t>kan</w:t>
      </w:r>
      <w:proofErr w:type="spellEnd"/>
      <w:proofErr w:type="gramEnd"/>
      <w:r w:rsidRPr="000F5CF5">
        <w:rPr>
          <w:i/>
        </w:rPr>
        <w:t xml:space="preserve"> </w:t>
      </w:r>
      <w:proofErr w:type="spellStart"/>
      <w:r w:rsidRPr="000F5CF5">
        <w:rPr>
          <w:i/>
        </w:rPr>
        <w:t>onthaal</w:t>
      </w:r>
      <w:proofErr w:type="spellEnd"/>
      <w:r w:rsidRPr="000F5CF5">
        <w:rPr>
          <w:i/>
        </w:rPr>
        <w:t xml:space="preserve"> en "</w:t>
      </w:r>
      <w:proofErr w:type="spellStart"/>
      <w:r w:rsidRPr="000F5CF5">
        <w:rPr>
          <w:i/>
        </w:rPr>
        <w:t>omkoop</w:t>
      </w:r>
      <w:proofErr w:type="spellEnd"/>
      <w:r w:rsidRPr="000F5CF5">
        <w:rPr>
          <w:i/>
        </w:rPr>
        <w:t xml:space="preserve">" </w:t>
      </w:r>
      <w:proofErr w:type="spellStart"/>
      <w:r w:rsidRPr="000F5CF5">
        <w:rPr>
          <w:i/>
        </w:rPr>
        <w:t>kry</w:t>
      </w:r>
      <w:proofErr w:type="spellEnd"/>
      <w:r w:rsidRPr="000F5CF5">
        <w:rPr>
          <w:i/>
        </w:rPr>
        <w:t xml:space="preserve"> </w:t>
      </w:r>
      <w:proofErr w:type="spellStart"/>
      <w:r w:rsidRPr="000F5CF5">
        <w:rPr>
          <w:i/>
        </w:rPr>
        <w:t>noodwendig</w:t>
      </w:r>
      <w:proofErr w:type="spellEnd"/>
      <w:r w:rsidRPr="000F5CF5">
        <w:rPr>
          <w:i/>
        </w:rPr>
        <w:t xml:space="preserve"> die </w:t>
      </w:r>
      <w:proofErr w:type="spellStart"/>
      <w:r w:rsidRPr="000F5CF5">
        <w:rPr>
          <w:i/>
        </w:rPr>
        <w:t>meeste</w:t>
      </w:r>
      <w:proofErr w:type="spellEnd"/>
      <w:r w:rsidRPr="000F5CF5">
        <w:rPr>
          <w:i/>
        </w:rPr>
        <w:t xml:space="preserve"> </w:t>
      </w:r>
      <w:proofErr w:type="spellStart"/>
      <w:r w:rsidRPr="000F5CF5">
        <w:rPr>
          <w:i/>
        </w:rPr>
        <w:t>transaksies</w:t>
      </w:r>
      <w:proofErr w:type="spellEnd"/>
      <w:r w:rsidRPr="000F5CF5">
        <w:rPr>
          <w:i/>
        </w:rPr>
        <w:t xml:space="preserve">.  </w:t>
      </w:r>
      <w:proofErr w:type="spellStart"/>
      <w:r w:rsidRPr="000F5CF5">
        <w:rPr>
          <w:i/>
        </w:rPr>
        <w:t>Wat</w:t>
      </w:r>
      <w:proofErr w:type="spellEnd"/>
      <w:r w:rsidRPr="000F5CF5">
        <w:rPr>
          <w:i/>
        </w:rPr>
        <w:t xml:space="preserve"> is </w:t>
      </w:r>
      <w:proofErr w:type="spellStart"/>
      <w:r w:rsidRPr="000F5CF5">
        <w:rPr>
          <w:i/>
        </w:rPr>
        <w:t>doel</w:t>
      </w:r>
      <w:proofErr w:type="spellEnd"/>
      <w:r w:rsidRPr="000F5CF5">
        <w:rPr>
          <w:i/>
        </w:rPr>
        <w:t xml:space="preserve"> </w:t>
      </w:r>
      <w:proofErr w:type="spellStart"/>
      <w:proofErr w:type="gramStart"/>
      <w:r w:rsidRPr="000F5CF5">
        <w:rPr>
          <w:i/>
        </w:rPr>
        <w:t>om</w:t>
      </w:r>
      <w:proofErr w:type="spellEnd"/>
      <w:r w:rsidRPr="000F5CF5">
        <w:rPr>
          <w:i/>
        </w:rPr>
        <w:t xml:space="preserve"> as 'n </w:t>
      </w:r>
      <w:proofErr w:type="spellStart"/>
      <w:r w:rsidRPr="000F5CF5">
        <w:rPr>
          <w:i/>
        </w:rPr>
        <w:t>Transportbesorger</w:t>
      </w:r>
      <w:proofErr w:type="spellEnd"/>
      <w:r w:rsidRPr="000F5CF5">
        <w:rPr>
          <w:i/>
        </w:rPr>
        <w:t xml:space="preserve"> </w:t>
      </w:r>
      <w:proofErr w:type="spellStart"/>
      <w:r w:rsidRPr="000F5CF5">
        <w:rPr>
          <w:i/>
        </w:rPr>
        <w:t>gekwalifiseer</w:t>
      </w:r>
      <w:proofErr w:type="spellEnd"/>
      <w:r w:rsidRPr="000F5CF5">
        <w:rPr>
          <w:i/>
        </w:rPr>
        <w:t xml:space="preserve"> </w:t>
      </w:r>
      <w:proofErr w:type="spellStart"/>
      <w:r w:rsidRPr="000F5CF5">
        <w:rPr>
          <w:i/>
        </w:rPr>
        <w:t>te</w:t>
      </w:r>
      <w:proofErr w:type="spellEnd"/>
      <w:proofErr w:type="gramEnd"/>
      <w:r w:rsidRPr="000F5CF5">
        <w:rPr>
          <w:i/>
        </w:rPr>
        <w:t xml:space="preserve"> </w:t>
      </w:r>
      <w:proofErr w:type="spellStart"/>
      <w:r w:rsidRPr="000F5CF5">
        <w:rPr>
          <w:i/>
        </w:rPr>
        <w:t>wees</w:t>
      </w:r>
      <w:proofErr w:type="spellEnd"/>
      <w:r w:rsidRPr="000F5CF5">
        <w:rPr>
          <w:i/>
        </w:rPr>
        <w:t xml:space="preserve"> </w:t>
      </w:r>
      <w:proofErr w:type="spellStart"/>
      <w:r w:rsidRPr="000F5CF5">
        <w:rPr>
          <w:i/>
        </w:rPr>
        <w:t>waar</w:t>
      </w:r>
      <w:proofErr w:type="spellEnd"/>
      <w:r w:rsidRPr="000F5CF5">
        <w:rPr>
          <w:i/>
        </w:rPr>
        <w:t xml:space="preserve"> </w:t>
      </w:r>
      <w:proofErr w:type="spellStart"/>
      <w:r w:rsidRPr="000F5CF5">
        <w:rPr>
          <w:i/>
        </w:rPr>
        <w:t>firmas</w:t>
      </w:r>
      <w:proofErr w:type="spellEnd"/>
      <w:r w:rsidRPr="000F5CF5">
        <w:rPr>
          <w:i/>
        </w:rPr>
        <w:t xml:space="preserve"> op bank </w:t>
      </w:r>
      <w:proofErr w:type="spellStart"/>
      <w:r w:rsidRPr="000F5CF5">
        <w:rPr>
          <w:i/>
        </w:rPr>
        <w:t>panele</w:t>
      </w:r>
      <w:proofErr w:type="spellEnd"/>
      <w:r w:rsidRPr="000F5CF5">
        <w:rPr>
          <w:i/>
        </w:rPr>
        <w:t xml:space="preserve"> is </w:t>
      </w:r>
      <w:proofErr w:type="spellStart"/>
      <w:r w:rsidRPr="000F5CF5">
        <w:rPr>
          <w:i/>
        </w:rPr>
        <w:t>wat</w:t>
      </w:r>
      <w:proofErr w:type="spellEnd"/>
      <w:r w:rsidRPr="000F5CF5">
        <w:rPr>
          <w:i/>
        </w:rPr>
        <w:t xml:space="preserve"> </w:t>
      </w:r>
      <w:proofErr w:type="spellStart"/>
      <w:r w:rsidRPr="000F5CF5">
        <w:rPr>
          <w:i/>
        </w:rPr>
        <w:t>nie</w:t>
      </w:r>
      <w:proofErr w:type="spellEnd"/>
      <w:r w:rsidRPr="000F5CF5">
        <w:rPr>
          <w:i/>
        </w:rPr>
        <w:t xml:space="preserve"> </w:t>
      </w:r>
      <w:proofErr w:type="spellStart"/>
      <w:r w:rsidRPr="000F5CF5">
        <w:rPr>
          <w:i/>
        </w:rPr>
        <w:t>eers</w:t>
      </w:r>
      <w:proofErr w:type="spellEnd"/>
      <w:r w:rsidRPr="000F5CF5">
        <w:rPr>
          <w:i/>
        </w:rPr>
        <w:t xml:space="preserve"> en </w:t>
      </w:r>
      <w:proofErr w:type="spellStart"/>
      <w:r w:rsidRPr="000F5CF5">
        <w:rPr>
          <w:i/>
        </w:rPr>
        <w:t>Transportbesorger</w:t>
      </w:r>
      <w:proofErr w:type="spellEnd"/>
      <w:r w:rsidRPr="000F5CF5">
        <w:rPr>
          <w:i/>
        </w:rPr>
        <w:t xml:space="preserve"> by </w:t>
      </w:r>
      <w:proofErr w:type="spellStart"/>
      <w:r w:rsidRPr="000F5CF5">
        <w:rPr>
          <w:i/>
        </w:rPr>
        <w:t>hulle</w:t>
      </w:r>
      <w:proofErr w:type="spellEnd"/>
      <w:r w:rsidRPr="000F5CF5">
        <w:rPr>
          <w:i/>
        </w:rPr>
        <w:t xml:space="preserve"> firma het </w:t>
      </w:r>
      <w:proofErr w:type="spellStart"/>
      <w:r w:rsidRPr="000F5CF5">
        <w:rPr>
          <w:i/>
        </w:rPr>
        <w:t>nie</w:t>
      </w:r>
      <w:proofErr w:type="spellEnd"/>
      <w:r w:rsidRPr="000F5CF5">
        <w:rPr>
          <w:i/>
        </w:rPr>
        <w:t xml:space="preserve">. Die </w:t>
      </w:r>
      <w:proofErr w:type="spellStart"/>
      <w:r w:rsidRPr="000F5CF5">
        <w:rPr>
          <w:i/>
        </w:rPr>
        <w:t>banke</w:t>
      </w:r>
      <w:proofErr w:type="spellEnd"/>
      <w:r w:rsidRPr="000F5CF5">
        <w:rPr>
          <w:i/>
        </w:rPr>
        <w:t xml:space="preserve"> </w:t>
      </w:r>
      <w:proofErr w:type="spellStart"/>
      <w:r w:rsidRPr="000F5CF5">
        <w:rPr>
          <w:i/>
        </w:rPr>
        <w:t>gebruik</w:t>
      </w:r>
      <w:proofErr w:type="spellEnd"/>
      <w:r w:rsidRPr="000F5CF5">
        <w:rPr>
          <w:i/>
        </w:rPr>
        <w:t xml:space="preserve"> </w:t>
      </w:r>
      <w:proofErr w:type="spellStart"/>
      <w:r w:rsidRPr="000F5CF5">
        <w:rPr>
          <w:i/>
        </w:rPr>
        <w:t>ons</w:t>
      </w:r>
      <w:proofErr w:type="spellEnd"/>
      <w:r w:rsidRPr="000F5CF5">
        <w:rPr>
          <w:i/>
        </w:rPr>
        <w:t xml:space="preserve"> </w:t>
      </w:r>
      <w:proofErr w:type="spellStart"/>
      <w:r w:rsidRPr="000F5CF5">
        <w:rPr>
          <w:i/>
        </w:rPr>
        <w:t>soos</w:t>
      </w:r>
      <w:proofErr w:type="spellEnd"/>
      <w:r w:rsidRPr="000F5CF5">
        <w:rPr>
          <w:i/>
        </w:rPr>
        <w:t xml:space="preserve"> </w:t>
      </w:r>
      <w:proofErr w:type="spellStart"/>
      <w:r w:rsidRPr="000F5CF5">
        <w:rPr>
          <w:i/>
        </w:rPr>
        <w:t>pionne</w:t>
      </w:r>
      <w:proofErr w:type="spellEnd"/>
      <w:r w:rsidRPr="000F5CF5">
        <w:rPr>
          <w:i/>
        </w:rPr>
        <w:t xml:space="preserve"> </w:t>
      </w:r>
      <w:proofErr w:type="spellStart"/>
      <w:r w:rsidRPr="000F5CF5">
        <w:rPr>
          <w:i/>
        </w:rPr>
        <w:t>wat</w:t>
      </w:r>
      <w:proofErr w:type="spellEnd"/>
      <w:r w:rsidRPr="000F5CF5">
        <w:rPr>
          <w:i/>
        </w:rPr>
        <w:t xml:space="preserve"> net </w:t>
      </w:r>
      <w:proofErr w:type="spellStart"/>
      <w:r w:rsidRPr="000F5CF5">
        <w:rPr>
          <w:i/>
        </w:rPr>
        <w:t>moet</w:t>
      </w:r>
      <w:proofErr w:type="spellEnd"/>
      <w:r w:rsidRPr="000F5CF5">
        <w:rPr>
          <w:i/>
        </w:rPr>
        <w:t xml:space="preserve"> spring as </w:t>
      </w:r>
      <w:proofErr w:type="spellStart"/>
      <w:r w:rsidRPr="000F5CF5">
        <w:rPr>
          <w:i/>
        </w:rPr>
        <w:t>hulle</w:t>
      </w:r>
      <w:proofErr w:type="spellEnd"/>
      <w:r w:rsidRPr="000F5CF5">
        <w:rPr>
          <w:i/>
        </w:rPr>
        <w:t xml:space="preserve"> </w:t>
      </w:r>
      <w:proofErr w:type="spellStart"/>
      <w:r w:rsidRPr="000F5CF5">
        <w:rPr>
          <w:i/>
        </w:rPr>
        <w:t>sê</w:t>
      </w:r>
      <w:proofErr w:type="spellEnd"/>
      <w:r w:rsidRPr="000F5CF5">
        <w:rPr>
          <w:i/>
        </w:rPr>
        <w:t xml:space="preserve"> spring.</w:t>
      </w:r>
    </w:p>
    <w:p w:rsidR="00D9516B" w:rsidRPr="000F5CF5" w:rsidRDefault="00D9516B">
      <w:pPr>
        <w:rPr>
          <w:i/>
        </w:rPr>
      </w:pPr>
    </w:p>
    <w:p w:rsidR="00D9516B" w:rsidRPr="000F5CF5" w:rsidRDefault="00D9516B">
      <w:pPr>
        <w:rPr>
          <w:i/>
        </w:rPr>
      </w:pPr>
      <w:r w:rsidRPr="000F5CF5">
        <w:rPr>
          <w:i/>
        </w:rPr>
        <w:t>Salary survey for secretaries, clerks, messengers, bookkeepers etc    Survey on problems with banks, deeds office, courts, Master's office, SARS, local authorities and other demons we have to deal with    Survey on typical costs and overheads e.g. rent, toner, salaries, phones, paper and stationary, entertainment, advertising/marketing etc</w:t>
      </w:r>
    </w:p>
    <w:p w:rsidR="00D9516B" w:rsidRPr="000F5CF5" w:rsidRDefault="00D9516B">
      <w:pPr>
        <w:rPr>
          <w:i/>
        </w:rPr>
      </w:pPr>
      <w:r w:rsidRPr="000F5CF5">
        <w:rPr>
          <w:i/>
        </w:rPr>
        <w:t>Surveys on all the software vendors</w:t>
      </w:r>
    </w:p>
    <w:p w:rsidR="00D9516B" w:rsidRPr="000F5CF5" w:rsidRDefault="00D9516B">
      <w:pPr>
        <w:rPr>
          <w:i/>
        </w:rPr>
      </w:pPr>
    </w:p>
    <w:p w:rsidR="00D9516B" w:rsidRPr="000F5CF5" w:rsidRDefault="00D9516B" w:rsidP="00D9516B">
      <w:pPr>
        <w:rPr>
          <w:i/>
        </w:rPr>
      </w:pPr>
      <w:r w:rsidRPr="000F5CF5">
        <w:rPr>
          <w:i/>
        </w:rPr>
        <w:t>Profession's views on the Electronic Lodgement of Deeds</w:t>
      </w:r>
    </w:p>
    <w:p w:rsidR="00D9516B" w:rsidRPr="000F5CF5" w:rsidRDefault="00D9516B">
      <w:pPr>
        <w:rPr>
          <w:i/>
        </w:rPr>
      </w:pPr>
      <w:r w:rsidRPr="000F5CF5">
        <w:rPr>
          <w:i/>
        </w:rPr>
        <w:t xml:space="preserve">I would like more surveys done especially with regards the problems we have with the Municipalities in obtaining clearances and the Master's office with regard to obtain signatures to Powers </w:t>
      </w:r>
      <w:proofErr w:type="spellStart"/>
      <w:r w:rsidRPr="000F5CF5">
        <w:rPr>
          <w:i/>
        </w:rPr>
        <w:t>ito</w:t>
      </w:r>
      <w:proofErr w:type="spellEnd"/>
      <w:r w:rsidRPr="000F5CF5">
        <w:rPr>
          <w:i/>
        </w:rPr>
        <w:t xml:space="preserve"> Sect 42(2) and the obtaining of certified copies of documents for use in the deeds office!!!!</w:t>
      </w:r>
    </w:p>
    <w:p w:rsidR="00D9516B" w:rsidRPr="000F5CF5" w:rsidRDefault="00D9516B">
      <w:pPr>
        <w:rPr>
          <w:i/>
        </w:rPr>
      </w:pPr>
    </w:p>
    <w:p w:rsidR="00D9516B" w:rsidRPr="000F5CF5" w:rsidRDefault="00D9516B">
      <w:pPr>
        <w:rPr>
          <w:i/>
        </w:rPr>
      </w:pPr>
      <w:r w:rsidRPr="000F5CF5">
        <w:rPr>
          <w:i/>
        </w:rPr>
        <w:t>How quickly do other conveyancers get rates clearance figures and what is suggested as the quickest route.</w:t>
      </w:r>
    </w:p>
    <w:p w:rsidR="00D9516B" w:rsidRPr="000F5CF5" w:rsidRDefault="00D9516B" w:rsidP="00D9516B">
      <w:pPr>
        <w:rPr>
          <w:i/>
        </w:rPr>
      </w:pPr>
      <w:r w:rsidRPr="000F5CF5">
        <w:rPr>
          <w:i/>
        </w:rPr>
        <w:t>Conveyancing firms should refrain from offering ridiculous reductions in fees to obtain instructions, as it adversely affects and cheapens the entire industry.</w:t>
      </w:r>
    </w:p>
    <w:p w:rsidR="00D9516B" w:rsidRPr="000F5CF5" w:rsidRDefault="00D9516B">
      <w:pPr>
        <w:rPr>
          <w:i/>
        </w:rPr>
      </w:pPr>
    </w:p>
    <w:p w:rsidR="00D9516B" w:rsidRPr="000F5CF5" w:rsidRDefault="00D9516B">
      <w:pPr>
        <w:rPr>
          <w:i/>
        </w:rPr>
      </w:pPr>
      <w:r w:rsidRPr="000F5CF5">
        <w:rPr>
          <w:i/>
        </w:rPr>
        <w:t>I feel that Conveyancing secretaries are exploited.  We are made to take all the responsibility of the conveyancer and yet the conveyancers continue to complain about our salaries.  Conveyancing secretaries now are being paid peanuts and you know what they say about that "you pay peanuts, you get monk</w:t>
      </w:r>
      <w:r w:rsidR="003A3034" w:rsidRPr="000F5CF5">
        <w:rPr>
          <w:i/>
        </w:rPr>
        <w:t>ey</w:t>
      </w:r>
      <w:r w:rsidRPr="000F5CF5">
        <w:rPr>
          <w:i/>
        </w:rPr>
        <w:t>s"</w:t>
      </w:r>
    </w:p>
    <w:p w:rsidR="003A3034" w:rsidRPr="000F5CF5" w:rsidRDefault="003A3034">
      <w:pPr>
        <w:rPr>
          <w:i/>
        </w:rPr>
      </w:pPr>
      <w:proofErr w:type="gramStart"/>
      <w:r w:rsidRPr="000F5CF5">
        <w:rPr>
          <w:i/>
        </w:rPr>
        <w:t>Estate Administration.</w:t>
      </w:r>
      <w:proofErr w:type="gramEnd"/>
      <w:r w:rsidRPr="000F5CF5">
        <w:rPr>
          <w:i/>
        </w:rPr>
        <w:t xml:space="preserve">  What are legal firms doing to rescue the market from the Banks who do not do the job </w:t>
      </w:r>
      <w:proofErr w:type="gramStart"/>
      <w:r w:rsidRPr="000F5CF5">
        <w:rPr>
          <w:i/>
        </w:rPr>
        <w:t>properly.</w:t>
      </w:r>
      <w:proofErr w:type="gramEnd"/>
      <w:r w:rsidRPr="000F5CF5">
        <w:rPr>
          <w:i/>
        </w:rPr>
        <w:t xml:space="preserve">  </w:t>
      </w:r>
      <w:proofErr w:type="gramStart"/>
      <w:r w:rsidRPr="000F5CF5">
        <w:rPr>
          <w:i/>
        </w:rPr>
        <w:t xml:space="preserve">If Ghost Digest could do a survey with possibly senior attorneys who do estate </w:t>
      </w:r>
      <w:r w:rsidRPr="000F5CF5">
        <w:rPr>
          <w:i/>
        </w:rPr>
        <w:lastRenderedPageBreak/>
        <w:t>administration as a large part of their practice to glean their input on their attitude towards banks administering estates.</w:t>
      </w:r>
      <w:proofErr w:type="gramEnd"/>
      <w:r w:rsidRPr="000F5CF5">
        <w:rPr>
          <w:i/>
        </w:rPr>
        <w:t xml:space="preserve">  There is a whole market out there that can once again be returned where it should be, with attorneys.</w:t>
      </w:r>
    </w:p>
    <w:p w:rsidR="003A3034" w:rsidRDefault="003A3034"/>
    <w:p w:rsidR="003A3034" w:rsidRPr="00D9516B" w:rsidRDefault="003A3034"/>
    <w:sectPr w:rsidR="003A3034" w:rsidRPr="00D9516B" w:rsidSect="00816DB9">
      <w:footerReference w:type="defaul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EF" w:rsidRDefault="00CE3FEF" w:rsidP="0044524C">
      <w:pPr>
        <w:spacing w:after="0" w:line="240" w:lineRule="auto"/>
      </w:pPr>
      <w:r>
        <w:separator/>
      </w:r>
    </w:p>
  </w:endnote>
  <w:endnote w:type="continuationSeparator" w:id="0">
    <w:p w:rsidR="00CE3FEF" w:rsidRDefault="00CE3FEF" w:rsidP="00445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EF" w:rsidRPr="004D56B6" w:rsidRDefault="00CE3FEF">
    <w:pPr>
      <w:pStyle w:val="Footer"/>
      <w:rPr>
        <w:sz w:val="20"/>
        <w:szCs w:val="20"/>
      </w:rPr>
    </w:pPr>
    <w:sdt>
      <w:sdtPr>
        <w:rPr>
          <w:sz w:val="20"/>
          <w:szCs w:val="20"/>
        </w:rPr>
        <w:id w:val="11614079"/>
        <w:docPartObj>
          <w:docPartGallery w:val="Page Numbers (Bottom of Page)"/>
          <w:docPartUnique/>
        </w:docPartObj>
      </w:sdtPr>
      <w:sdtContent>
        <w:r w:rsidRPr="00467A23">
          <w:rPr>
            <w:noProof/>
            <w:sz w:val="20"/>
            <w:szCs w:val="20"/>
            <w:lang w:val="en-US" w:eastAsia="zh-TW"/>
          </w:rPr>
          <w:pict>
            <v:group id="_x0000_s2057" style="position:absolute;margin-left:-75.6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8" type="#_x0000_t32" style="position:absolute;left:2111;top:15387;width:0;height:441;flip:y" o:connectortype="straight" strokecolor="#7f7f7f [1612]"/>
              <v:rect id="_x0000_s2059" style="position:absolute;left:1743;top:14699;width:688;height:688;v-text-anchor:middle" filled="f" strokecolor="#7f7f7f [1612]">
                <v:textbox style="mso-next-textbox:#_x0000_s2059">
                  <w:txbxContent>
                    <w:p w:rsidR="00CE3FEF" w:rsidRDefault="00CE3FEF">
                      <w:pPr>
                        <w:pStyle w:val="Footer"/>
                        <w:jc w:val="center"/>
                        <w:rPr>
                          <w:sz w:val="16"/>
                          <w:szCs w:val="16"/>
                        </w:rPr>
                      </w:pPr>
                      <w:fldSimple w:instr=" PAGE    \* MERGEFORMAT ">
                        <w:r w:rsidR="00B33272" w:rsidRPr="00B33272">
                          <w:rPr>
                            <w:noProof/>
                            <w:sz w:val="16"/>
                            <w:szCs w:val="16"/>
                          </w:rPr>
                          <w:t>2</w:t>
                        </w:r>
                      </w:fldSimple>
                    </w:p>
                  </w:txbxContent>
                </v:textbox>
              </v:rect>
              <w10:wrap anchorx="margin" anchory="page"/>
            </v:group>
          </w:pict>
        </w:r>
        <w:r>
          <w:rPr>
            <w:sz w:val="20"/>
            <w:szCs w:val="20"/>
          </w:rPr>
          <w:t>National Summary</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EF" w:rsidRDefault="00CE3FEF" w:rsidP="0044524C">
      <w:pPr>
        <w:spacing w:after="0" w:line="240" w:lineRule="auto"/>
      </w:pPr>
      <w:r>
        <w:separator/>
      </w:r>
    </w:p>
  </w:footnote>
  <w:footnote w:type="continuationSeparator" w:id="0">
    <w:p w:rsidR="00CE3FEF" w:rsidRDefault="00CE3FEF" w:rsidP="004452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1"/>
    <o:shapelayout v:ext="edit">
      <o:idmap v:ext="edit" data="2"/>
      <o:rules v:ext="edit">
        <o:r id="V:Rule2" type="connector" idref="#_x0000_s2058"/>
      </o:rules>
    </o:shapelayout>
  </w:hdrShapeDefaults>
  <w:footnotePr>
    <w:footnote w:id="-1"/>
    <w:footnote w:id="0"/>
  </w:footnotePr>
  <w:endnotePr>
    <w:endnote w:id="-1"/>
    <w:endnote w:id="0"/>
  </w:endnotePr>
  <w:compat/>
  <w:rsids>
    <w:rsidRoot w:val="00E77D45"/>
    <w:rsid w:val="000F5CF5"/>
    <w:rsid w:val="00137FFA"/>
    <w:rsid w:val="00177859"/>
    <w:rsid w:val="00191E98"/>
    <w:rsid w:val="001E20C0"/>
    <w:rsid w:val="001F5D9B"/>
    <w:rsid w:val="00207880"/>
    <w:rsid w:val="00281312"/>
    <w:rsid w:val="00285A07"/>
    <w:rsid w:val="002E0131"/>
    <w:rsid w:val="0034017C"/>
    <w:rsid w:val="00344E06"/>
    <w:rsid w:val="003A3034"/>
    <w:rsid w:val="003E439D"/>
    <w:rsid w:val="00412710"/>
    <w:rsid w:val="00430797"/>
    <w:rsid w:val="0044524C"/>
    <w:rsid w:val="004642C4"/>
    <w:rsid w:val="004675EF"/>
    <w:rsid w:val="00467A23"/>
    <w:rsid w:val="00480A1B"/>
    <w:rsid w:val="00493F09"/>
    <w:rsid w:val="004C4E56"/>
    <w:rsid w:val="004D56B6"/>
    <w:rsid w:val="004E0886"/>
    <w:rsid w:val="00520AF9"/>
    <w:rsid w:val="00550D90"/>
    <w:rsid w:val="00652249"/>
    <w:rsid w:val="00666F96"/>
    <w:rsid w:val="00683895"/>
    <w:rsid w:val="00715232"/>
    <w:rsid w:val="007214ED"/>
    <w:rsid w:val="007639C7"/>
    <w:rsid w:val="00770CA2"/>
    <w:rsid w:val="00780C23"/>
    <w:rsid w:val="007A5B86"/>
    <w:rsid w:val="00816DB9"/>
    <w:rsid w:val="00957B92"/>
    <w:rsid w:val="009A161C"/>
    <w:rsid w:val="00AA4D73"/>
    <w:rsid w:val="00B33272"/>
    <w:rsid w:val="00B91E56"/>
    <w:rsid w:val="00C05411"/>
    <w:rsid w:val="00C74B0E"/>
    <w:rsid w:val="00CE3FEF"/>
    <w:rsid w:val="00D27377"/>
    <w:rsid w:val="00D9516B"/>
    <w:rsid w:val="00DE1967"/>
    <w:rsid w:val="00E70E78"/>
    <w:rsid w:val="00E77D45"/>
    <w:rsid w:val="00E87A63"/>
    <w:rsid w:val="00F25B87"/>
    <w:rsid w:val="00FB1E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B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D45"/>
    <w:rPr>
      <w:rFonts w:ascii="Tahoma" w:hAnsi="Tahoma" w:cs="Tahoma"/>
      <w:sz w:val="16"/>
      <w:szCs w:val="16"/>
    </w:rPr>
  </w:style>
  <w:style w:type="paragraph" w:styleId="Header">
    <w:name w:val="header"/>
    <w:basedOn w:val="Normal"/>
    <w:link w:val="HeaderChar"/>
    <w:uiPriority w:val="99"/>
    <w:semiHidden/>
    <w:unhideWhenUsed/>
    <w:rsid w:val="004452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524C"/>
  </w:style>
  <w:style w:type="paragraph" w:styleId="Footer">
    <w:name w:val="footer"/>
    <w:basedOn w:val="Normal"/>
    <w:link w:val="FooterChar"/>
    <w:uiPriority w:val="99"/>
    <w:unhideWhenUsed/>
    <w:rsid w:val="00445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4C"/>
  </w:style>
  <w:style w:type="character" w:styleId="PlaceholderText">
    <w:name w:val="Placeholder Text"/>
    <w:basedOn w:val="DefaultParagraphFont"/>
    <w:uiPriority w:val="99"/>
    <w:semiHidden/>
    <w:rsid w:val="00E87A63"/>
    <w:rPr>
      <w:color w:val="808080"/>
    </w:rPr>
  </w:style>
  <w:style w:type="paragraph" w:styleId="DocumentMap">
    <w:name w:val="Document Map"/>
    <w:basedOn w:val="Normal"/>
    <w:link w:val="DocumentMapChar"/>
    <w:uiPriority w:val="99"/>
    <w:semiHidden/>
    <w:unhideWhenUsed/>
    <w:rsid w:val="00FB1E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1EE7"/>
    <w:rPr>
      <w:rFonts w:ascii="Tahoma" w:hAnsi="Tahoma" w:cs="Tahoma"/>
      <w:sz w:val="16"/>
      <w:szCs w:val="16"/>
    </w:rPr>
  </w:style>
  <w:style w:type="table" w:styleId="TableGrid">
    <w:name w:val="Table Grid"/>
    <w:basedOn w:val="TableNormal"/>
    <w:uiPriority w:val="59"/>
    <w:rsid w:val="009A1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932767">
      <w:bodyDiv w:val="1"/>
      <w:marLeft w:val="0"/>
      <w:marRight w:val="0"/>
      <w:marTop w:val="0"/>
      <w:marBottom w:val="0"/>
      <w:divBdr>
        <w:top w:val="none" w:sz="0" w:space="0" w:color="auto"/>
        <w:left w:val="none" w:sz="0" w:space="0" w:color="auto"/>
        <w:bottom w:val="none" w:sz="0" w:space="0" w:color="auto"/>
        <w:right w:val="none" w:sz="0" w:space="0" w:color="auto"/>
      </w:divBdr>
    </w:div>
    <w:div w:id="440999815">
      <w:bodyDiv w:val="1"/>
      <w:marLeft w:val="0"/>
      <w:marRight w:val="0"/>
      <w:marTop w:val="0"/>
      <w:marBottom w:val="0"/>
      <w:divBdr>
        <w:top w:val="none" w:sz="0" w:space="0" w:color="auto"/>
        <w:left w:val="none" w:sz="0" w:space="0" w:color="auto"/>
        <w:bottom w:val="none" w:sz="0" w:space="0" w:color="auto"/>
        <w:right w:val="none" w:sz="0" w:space="0" w:color="auto"/>
      </w:divBdr>
    </w:div>
    <w:div w:id="716244234">
      <w:bodyDiv w:val="1"/>
      <w:marLeft w:val="0"/>
      <w:marRight w:val="0"/>
      <w:marTop w:val="0"/>
      <w:marBottom w:val="0"/>
      <w:divBdr>
        <w:top w:val="none" w:sz="0" w:space="0" w:color="auto"/>
        <w:left w:val="none" w:sz="0" w:space="0" w:color="auto"/>
        <w:bottom w:val="none" w:sz="0" w:space="0" w:color="auto"/>
        <w:right w:val="none" w:sz="0" w:space="0" w:color="auto"/>
      </w:divBdr>
    </w:div>
    <w:div w:id="1064789853">
      <w:bodyDiv w:val="1"/>
      <w:marLeft w:val="0"/>
      <w:marRight w:val="0"/>
      <w:marTop w:val="0"/>
      <w:marBottom w:val="0"/>
      <w:divBdr>
        <w:top w:val="none" w:sz="0" w:space="0" w:color="auto"/>
        <w:left w:val="none" w:sz="0" w:space="0" w:color="auto"/>
        <w:bottom w:val="none" w:sz="0" w:space="0" w:color="auto"/>
        <w:right w:val="none" w:sz="0" w:space="0" w:color="auto"/>
      </w:divBdr>
    </w:div>
    <w:div w:id="1172842879">
      <w:bodyDiv w:val="1"/>
      <w:marLeft w:val="0"/>
      <w:marRight w:val="0"/>
      <w:marTop w:val="0"/>
      <w:marBottom w:val="0"/>
      <w:divBdr>
        <w:top w:val="none" w:sz="0" w:space="0" w:color="auto"/>
        <w:left w:val="none" w:sz="0" w:space="0" w:color="auto"/>
        <w:bottom w:val="none" w:sz="0" w:space="0" w:color="auto"/>
        <w:right w:val="none" w:sz="0" w:space="0" w:color="auto"/>
      </w:divBdr>
    </w:div>
    <w:div w:id="1388795977">
      <w:bodyDiv w:val="1"/>
      <w:marLeft w:val="0"/>
      <w:marRight w:val="0"/>
      <w:marTop w:val="0"/>
      <w:marBottom w:val="0"/>
      <w:divBdr>
        <w:top w:val="none" w:sz="0" w:space="0" w:color="auto"/>
        <w:left w:val="none" w:sz="0" w:space="0" w:color="auto"/>
        <w:bottom w:val="none" w:sz="0" w:space="0" w:color="auto"/>
        <w:right w:val="none" w:sz="0" w:space="0" w:color="auto"/>
      </w:divBdr>
    </w:div>
    <w:div w:id="1390231625">
      <w:bodyDiv w:val="1"/>
      <w:marLeft w:val="0"/>
      <w:marRight w:val="0"/>
      <w:marTop w:val="0"/>
      <w:marBottom w:val="0"/>
      <w:divBdr>
        <w:top w:val="none" w:sz="0" w:space="0" w:color="auto"/>
        <w:left w:val="none" w:sz="0" w:space="0" w:color="auto"/>
        <w:bottom w:val="none" w:sz="0" w:space="0" w:color="auto"/>
        <w:right w:val="none" w:sz="0" w:space="0" w:color="auto"/>
      </w:divBdr>
    </w:div>
    <w:div w:id="1429503874">
      <w:bodyDiv w:val="1"/>
      <w:marLeft w:val="0"/>
      <w:marRight w:val="0"/>
      <w:marTop w:val="0"/>
      <w:marBottom w:val="0"/>
      <w:divBdr>
        <w:top w:val="none" w:sz="0" w:space="0" w:color="auto"/>
        <w:left w:val="none" w:sz="0" w:space="0" w:color="auto"/>
        <w:bottom w:val="none" w:sz="0" w:space="0" w:color="auto"/>
        <w:right w:val="none" w:sz="0" w:space="0" w:color="auto"/>
      </w:divBdr>
    </w:div>
    <w:div w:id="1503154867">
      <w:bodyDiv w:val="1"/>
      <w:marLeft w:val="0"/>
      <w:marRight w:val="0"/>
      <w:marTop w:val="0"/>
      <w:marBottom w:val="0"/>
      <w:divBdr>
        <w:top w:val="none" w:sz="0" w:space="0" w:color="auto"/>
        <w:left w:val="none" w:sz="0" w:space="0" w:color="auto"/>
        <w:bottom w:val="none" w:sz="0" w:space="0" w:color="auto"/>
        <w:right w:val="none" w:sz="0" w:space="0" w:color="auto"/>
      </w:divBdr>
    </w:div>
    <w:div w:id="1567031771">
      <w:bodyDiv w:val="1"/>
      <w:marLeft w:val="0"/>
      <w:marRight w:val="0"/>
      <w:marTop w:val="0"/>
      <w:marBottom w:val="0"/>
      <w:divBdr>
        <w:top w:val="none" w:sz="0" w:space="0" w:color="auto"/>
        <w:left w:val="none" w:sz="0" w:space="0" w:color="auto"/>
        <w:bottom w:val="none" w:sz="0" w:space="0" w:color="auto"/>
        <w:right w:val="none" w:sz="0" w:space="0" w:color="auto"/>
      </w:divBdr>
    </w:div>
    <w:div w:id="1731155136">
      <w:bodyDiv w:val="1"/>
      <w:marLeft w:val="0"/>
      <w:marRight w:val="0"/>
      <w:marTop w:val="0"/>
      <w:marBottom w:val="0"/>
      <w:divBdr>
        <w:top w:val="none" w:sz="0" w:space="0" w:color="auto"/>
        <w:left w:val="none" w:sz="0" w:space="0" w:color="auto"/>
        <w:bottom w:val="none" w:sz="0" w:space="0" w:color="auto"/>
        <w:right w:val="none" w:sz="0" w:space="0" w:color="auto"/>
      </w:divBdr>
    </w:div>
    <w:div w:id="17755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01\Projects\GhostDigest\Survey2010\WholeCount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ZA"/>
  <c:style val="26"/>
  <c:chart>
    <c:title>
      <c:tx>
        <c:rich>
          <a:bodyPr/>
          <a:lstStyle/>
          <a:p>
            <a:pPr>
              <a:defRPr sz="1100"/>
            </a:pPr>
            <a:r>
              <a:rPr lang="en-US" sz="1100"/>
              <a:t>Number of partners in firm</a:t>
            </a:r>
          </a:p>
        </c:rich>
      </c:tx>
      <c:layout>
        <c:manualLayout>
          <c:xMode val="edge"/>
          <c:yMode val="edge"/>
          <c:x val="0.34539713023676916"/>
          <c:y val="5.1416771101810796E-2"/>
        </c:manualLayout>
      </c:layout>
      <c:overlay val="1"/>
    </c:title>
    <c:plotArea>
      <c:layout>
        <c:manualLayout>
          <c:layoutTarget val="inner"/>
          <c:xMode val="edge"/>
          <c:yMode val="edge"/>
          <c:x val="0.13970552461430125"/>
          <c:y val="0.17464866441244473"/>
          <c:w val="0.73970734908136448"/>
          <c:h val="0.79822506561679785"/>
        </c:manualLayout>
      </c:layout>
      <c:pieChart>
        <c:varyColors val="1"/>
        <c:ser>
          <c:idx val="0"/>
          <c:order val="0"/>
          <c:dLbls>
            <c:dLbl>
              <c:idx val="4"/>
              <c:layout>
                <c:manualLayout>
                  <c:x val="-6.2649574946476397E-2"/>
                  <c:y val="9.8585989054207346E-2"/>
                </c:manualLayout>
              </c:layout>
              <c:dLblPos val="bestFit"/>
              <c:showVal val="1"/>
              <c:showPercent val="1"/>
            </c:dLbl>
            <c:dLbl>
              <c:idx val="5"/>
              <c:layout>
                <c:manualLayout>
                  <c:x val="-8.5429935592521919E-2"/>
                  <c:y val="0.1297147635725345"/>
                </c:manualLayout>
              </c:layout>
              <c:dLblPos val="bestFit"/>
              <c:showVal val="1"/>
              <c:showPercent val="1"/>
            </c:dLbl>
            <c:numFmt formatCode="General" sourceLinked="0"/>
            <c:txPr>
              <a:bodyPr/>
              <a:lstStyle/>
              <a:p>
                <a:pPr>
                  <a:defRPr sz="1000"/>
                </a:pPr>
                <a:endParaRPr lang="en-US"/>
              </a:p>
            </c:txPr>
            <c:dLblPos val="inEnd"/>
            <c:showVal val="1"/>
            <c:showPercent val="1"/>
            <c:showLeaderLines val="1"/>
          </c:dLbls>
          <c:cat>
            <c:strRef>
              <c:f>'Whole Country'!$B$677:$B$682</c:f>
              <c:strCache>
                <c:ptCount val="6"/>
                <c:pt idx="0">
                  <c:v>Sole Practitioner</c:v>
                </c:pt>
                <c:pt idx="1">
                  <c:v>2 to 5</c:v>
                </c:pt>
                <c:pt idx="2">
                  <c:v>6 to 10</c:v>
                </c:pt>
                <c:pt idx="3">
                  <c:v>11 to 20</c:v>
                </c:pt>
                <c:pt idx="4">
                  <c:v>21 to 40 </c:v>
                </c:pt>
                <c:pt idx="5">
                  <c:v>More than 40</c:v>
                </c:pt>
              </c:strCache>
            </c:strRef>
          </c:cat>
          <c:val>
            <c:numRef>
              <c:f>'Whole Country'!$C$677:$C$682</c:f>
              <c:numCache>
                <c:formatCode>0</c:formatCode>
                <c:ptCount val="6"/>
                <c:pt idx="0">
                  <c:v>35.218093699515343</c:v>
                </c:pt>
                <c:pt idx="1">
                  <c:v>49.59612277867528</c:v>
                </c:pt>
                <c:pt idx="2">
                  <c:v>7.5928917609046849</c:v>
                </c:pt>
                <c:pt idx="3">
                  <c:v>4.6849757673667201</c:v>
                </c:pt>
                <c:pt idx="4">
                  <c:v>0.96930533117932149</c:v>
                </c:pt>
                <c:pt idx="5">
                  <c:v>1.938610662358643</c:v>
                </c:pt>
              </c:numCache>
            </c:numRef>
          </c:val>
        </c:ser>
        <c:firstSliceAng val="53"/>
      </c:pieChart>
    </c:plotArea>
    <c:legend>
      <c:legendPos val="r"/>
      <c:layout/>
      <c:overlay val="1"/>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ZA"/>
  <c:style val="24"/>
  <c:chart>
    <c:title>
      <c:tx>
        <c:rich>
          <a:bodyPr/>
          <a:lstStyle/>
          <a:p>
            <a:pPr>
              <a:defRPr sz="1100"/>
            </a:pPr>
            <a:r>
              <a:rPr lang="en-US" sz="1100"/>
              <a:t>Recovery - Nedbank</a:t>
            </a:r>
          </a:p>
        </c:rich>
      </c:tx>
      <c:layout/>
    </c:title>
    <c:plotArea>
      <c:layout/>
      <c:stockChart>
        <c:ser>
          <c:idx val="0"/>
          <c:order val="0"/>
          <c:tx>
            <c:strRef>
              <c:f>'Whole Country'!$AG$784</c:f>
              <c:strCache>
                <c:ptCount val="1"/>
                <c:pt idx="0">
                  <c:v>Low</c:v>
                </c:pt>
              </c:strCache>
            </c:strRef>
          </c:tx>
          <c:spPr>
            <a:ln w="47625">
              <a:noFill/>
            </a:ln>
          </c:spPr>
          <c:marker>
            <c:symbol val="none"/>
          </c:marker>
          <c:cat>
            <c:strRef>
              <c:f>'Whole Country'!$AF$785:$AF$798</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Country'!$AG$785:$AG$798</c:f>
              <c:numCache>
                <c:formatCode>General</c:formatCode>
                <c:ptCount val="14"/>
                <c:pt idx="0">
                  <c:v>5</c:v>
                </c:pt>
                <c:pt idx="1">
                  <c:v>120</c:v>
                </c:pt>
                <c:pt idx="2">
                  <c:v>65</c:v>
                </c:pt>
                <c:pt idx="3">
                  <c:v>85</c:v>
                </c:pt>
                <c:pt idx="4">
                  <c:v>10</c:v>
                </c:pt>
                <c:pt idx="5">
                  <c:v>5</c:v>
                </c:pt>
                <c:pt idx="6">
                  <c:v>100</c:v>
                </c:pt>
                <c:pt idx="7">
                  <c:v>50</c:v>
                </c:pt>
                <c:pt idx="8">
                  <c:v>80</c:v>
                </c:pt>
                <c:pt idx="9">
                  <c:v>89</c:v>
                </c:pt>
                <c:pt idx="10">
                  <c:v>79</c:v>
                </c:pt>
                <c:pt idx="11">
                  <c:v>100</c:v>
                </c:pt>
                <c:pt idx="12">
                  <c:v>87</c:v>
                </c:pt>
                <c:pt idx="13">
                  <c:v>10</c:v>
                </c:pt>
              </c:numCache>
            </c:numRef>
          </c:val>
        </c:ser>
        <c:ser>
          <c:idx val="1"/>
          <c:order val="1"/>
          <c:tx>
            <c:strRef>
              <c:f>'Whole Country'!$AH$784</c:f>
              <c:strCache>
                <c:ptCount val="1"/>
                <c:pt idx="0">
                  <c:v>High</c:v>
                </c:pt>
              </c:strCache>
            </c:strRef>
          </c:tx>
          <c:spPr>
            <a:ln w="47625">
              <a:noFill/>
            </a:ln>
          </c:spPr>
          <c:marker>
            <c:symbol val="none"/>
          </c:marker>
          <c:cat>
            <c:strRef>
              <c:f>'Whole Country'!$AF$785:$AF$798</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Country'!$AH$785:$AH$798</c:f>
              <c:numCache>
                <c:formatCode>General</c:formatCode>
                <c:ptCount val="14"/>
                <c:pt idx="0">
                  <c:v>550</c:v>
                </c:pt>
                <c:pt idx="1">
                  <c:v>120</c:v>
                </c:pt>
                <c:pt idx="2">
                  <c:v>468</c:v>
                </c:pt>
                <c:pt idx="3">
                  <c:v>250</c:v>
                </c:pt>
                <c:pt idx="4">
                  <c:v>315</c:v>
                </c:pt>
                <c:pt idx="5">
                  <c:v>285</c:v>
                </c:pt>
                <c:pt idx="6">
                  <c:v>200</c:v>
                </c:pt>
                <c:pt idx="7">
                  <c:v>250</c:v>
                </c:pt>
                <c:pt idx="8">
                  <c:v>299</c:v>
                </c:pt>
                <c:pt idx="9">
                  <c:v>250</c:v>
                </c:pt>
                <c:pt idx="10">
                  <c:v>220</c:v>
                </c:pt>
                <c:pt idx="11">
                  <c:v>350</c:v>
                </c:pt>
                <c:pt idx="12">
                  <c:v>245</c:v>
                </c:pt>
                <c:pt idx="13">
                  <c:v>550</c:v>
                </c:pt>
              </c:numCache>
            </c:numRef>
          </c:val>
        </c:ser>
        <c:ser>
          <c:idx val="2"/>
          <c:order val="2"/>
          <c:tx>
            <c:strRef>
              <c:f>'Whole Country'!$AI$784</c:f>
              <c:strCache>
                <c:ptCount val="1"/>
                <c:pt idx="0">
                  <c:v>Average</c:v>
                </c:pt>
              </c:strCache>
            </c:strRef>
          </c:tx>
          <c:spPr>
            <a:ln w="47625">
              <a:noFill/>
            </a:ln>
            <a:effectLst>
              <a:outerShdw blurRad="50800" dist="38100" dir="2700000" algn="tl" rotWithShape="0">
                <a:srgbClr val="002060">
                  <a:alpha val="40000"/>
                </a:srgbClr>
              </a:outerShdw>
            </a:effectLst>
          </c:spPr>
          <c:marker>
            <c:symbol val="dash"/>
            <c:size val="9"/>
            <c:spPr>
              <a:solidFill>
                <a:srgbClr val="002060"/>
              </a:solidFill>
              <a:ln>
                <a:solidFill>
                  <a:srgbClr val="002060"/>
                </a:solidFill>
              </a:ln>
              <a:effectLst>
                <a:outerShdw blurRad="50800" dist="38100" dir="2700000" algn="tl" rotWithShape="0">
                  <a:srgbClr val="002060">
                    <a:alpha val="40000"/>
                  </a:srgbClr>
                </a:outerShdw>
              </a:effectLst>
            </c:spPr>
          </c:marker>
          <c:cat>
            <c:strRef>
              <c:f>'Whole Country'!$AF$785:$AF$798</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Country'!$AI$785:$AI$798</c:f>
              <c:numCache>
                <c:formatCode>General</c:formatCode>
                <c:ptCount val="14"/>
                <c:pt idx="0">
                  <c:v>142</c:v>
                </c:pt>
                <c:pt idx="1">
                  <c:v>120</c:v>
                </c:pt>
                <c:pt idx="2">
                  <c:v>141</c:v>
                </c:pt>
                <c:pt idx="3">
                  <c:v>143</c:v>
                </c:pt>
                <c:pt idx="4">
                  <c:v>107</c:v>
                </c:pt>
                <c:pt idx="5">
                  <c:v>121</c:v>
                </c:pt>
                <c:pt idx="6">
                  <c:v>143</c:v>
                </c:pt>
                <c:pt idx="7">
                  <c:v>127</c:v>
                </c:pt>
                <c:pt idx="8">
                  <c:v>162</c:v>
                </c:pt>
                <c:pt idx="9">
                  <c:v>130</c:v>
                </c:pt>
                <c:pt idx="10">
                  <c:v>122</c:v>
                </c:pt>
                <c:pt idx="11">
                  <c:v>189</c:v>
                </c:pt>
                <c:pt idx="12">
                  <c:v>182</c:v>
                </c:pt>
                <c:pt idx="13">
                  <c:v>162</c:v>
                </c:pt>
              </c:numCache>
            </c:numRef>
          </c:val>
        </c:ser>
        <c:hiLowLines>
          <c:spPr>
            <a:ln w="34925">
              <a:solidFill>
                <a:srgbClr val="FF0000"/>
              </a:solidFill>
            </a:ln>
          </c:spPr>
        </c:hiLowLines>
        <c:axId val="64380288"/>
        <c:axId val="66634112"/>
      </c:stockChart>
      <c:catAx>
        <c:axId val="64380288"/>
        <c:scaling>
          <c:orientation val="minMax"/>
        </c:scaling>
        <c:axPos val="b"/>
        <c:majorTickMark val="none"/>
        <c:tickLblPos val="nextTo"/>
        <c:crossAx val="66634112"/>
        <c:crosses val="autoZero"/>
        <c:auto val="1"/>
        <c:lblAlgn val="ctr"/>
        <c:lblOffset val="100"/>
      </c:catAx>
      <c:valAx>
        <c:axId val="66634112"/>
        <c:scaling>
          <c:orientation val="minMax"/>
        </c:scaling>
        <c:axPos val="l"/>
        <c:majorGridlines/>
        <c:title>
          <c:tx>
            <c:rich>
              <a:bodyPr/>
              <a:lstStyle/>
              <a:p>
                <a:pPr>
                  <a:defRPr/>
                </a:pPr>
                <a:r>
                  <a:rPr lang="en-US"/>
                  <a:t>Amount R</a:t>
                </a:r>
              </a:p>
            </c:rich>
          </c:tx>
          <c:layout/>
        </c:title>
        <c:numFmt formatCode="#,##0.00" sourceLinked="0"/>
        <c:majorTickMark val="none"/>
        <c:tickLblPos val="nextTo"/>
        <c:crossAx val="64380288"/>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ZA"/>
  <c:style val="24"/>
  <c:chart>
    <c:title>
      <c:tx>
        <c:rich>
          <a:bodyPr/>
          <a:lstStyle/>
          <a:p>
            <a:pPr>
              <a:defRPr sz="1100"/>
            </a:pPr>
            <a:r>
              <a:rPr lang="en-US" sz="1100"/>
              <a:t>Recovery - Other</a:t>
            </a:r>
            <a:r>
              <a:rPr lang="en-US" sz="1100" baseline="0"/>
              <a:t> banks</a:t>
            </a:r>
            <a:endParaRPr lang="en-US" sz="1100"/>
          </a:p>
        </c:rich>
      </c:tx>
      <c:layout/>
    </c:title>
    <c:plotArea>
      <c:layout/>
      <c:stockChart>
        <c:ser>
          <c:idx val="0"/>
          <c:order val="0"/>
          <c:tx>
            <c:strRef>
              <c:f>'Whole Country'!$AL$784</c:f>
              <c:strCache>
                <c:ptCount val="1"/>
                <c:pt idx="0">
                  <c:v>Low</c:v>
                </c:pt>
              </c:strCache>
            </c:strRef>
          </c:tx>
          <c:spPr>
            <a:ln w="47625">
              <a:noFill/>
            </a:ln>
          </c:spPr>
          <c:marker>
            <c:symbol val="none"/>
          </c:marker>
          <c:cat>
            <c:strRef>
              <c:f>'Whole Country'!$AK$785:$AK$798</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Country'!$AL$785:$AL$798</c:f>
              <c:numCache>
                <c:formatCode>General</c:formatCode>
                <c:ptCount val="14"/>
                <c:pt idx="0">
                  <c:v>85</c:v>
                </c:pt>
                <c:pt idx="1">
                  <c:v>65</c:v>
                </c:pt>
                <c:pt idx="2">
                  <c:v>89</c:v>
                </c:pt>
                <c:pt idx="3">
                  <c:v>85</c:v>
                </c:pt>
                <c:pt idx="4">
                  <c:v>100</c:v>
                </c:pt>
                <c:pt idx="5">
                  <c:v>107</c:v>
                </c:pt>
                <c:pt idx="6">
                  <c:v>135</c:v>
                </c:pt>
                <c:pt idx="7">
                  <c:v>92</c:v>
                </c:pt>
                <c:pt idx="8">
                  <c:v>299</c:v>
                </c:pt>
                <c:pt idx="9">
                  <c:v>89</c:v>
                </c:pt>
                <c:pt idx="10">
                  <c:v>95</c:v>
                </c:pt>
                <c:pt idx="11">
                  <c:v>117</c:v>
                </c:pt>
                <c:pt idx="12">
                  <c:v>144</c:v>
                </c:pt>
                <c:pt idx="13">
                  <c:v>100</c:v>
                </c:pt>
              </c:numCache>
            </c:numRef>
          </c:val>
        </c:ser>
        <c:ser>
          <c:idx val="1"/>
          <c:order val="1"/>
          <c:tx>
            <c:strRef>
              <c:f>'Whole Country'!$AM$784</c:f>
              <c:strCache>
                <c:ptCount val="1"/>
                <c:pt idx="0">
                  <c:v>High</c:v>
                </c:pt>
              </c:strCache>
            </c:strRef>
          </c:tx>
          <c:spPr>
            <a:ln w="47625">
              <a:noFill/>
            </a:ln>
          </c:spPr>
          <c:marker>
            <c:symbol val="none"/>
          </c:marker>
          <c:cat>
            <c:strRef>
              <c:f>'Whole Country'!$AK$785:$AK$798</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Country'!$AM$785:$AM$798</c:f>
              <c:numCache>
                <c:formatCode>General</c:formatCode>
                <c:ptCount val="14"/>
                <c:pt idx="0">
                  <c:v>468</c:v>
                </c:pt>
                <c:pt idx="1">
                  <c:v>500</c:v>
                </c:pt>
                <c:pt idx="2">
                  <c:v>468</c:v>
                </c:pt>
                <c:pt idx="3">
                  <c:v>245</c:v>
                </c:pt>
                <c:pt idx="4">
                  <c:v>107</c:v>
                </c:pt>
                <c:pt idx="5">
                  <c:v>550</c:v>
                </c:pt>
                <c:pt idx="6">
                  <c:v>135</c:v>
                </c:pt>
                <c:pt idx="7">
                  <c:v>250</c:v>
                </c:pt>
                <c:pt idx="8">
                  <c:v>299</c:v>
                </c:pt>
                <c:pt idx="9">
                  <c:v>148</c:v>
                </c:pt>
                <c:pt idx="10">
                  <c:v>125</c:v>
                </c:pt>
                <c:pt idx="11">
                  <c:v>117</c:v>
                </c:pt>
                <c:pt idx="12">
                  <c:v>230</c:v>
                </c:pt>
                <c:pt idx="13">
                  <c:v>350</c:v>
                </c:pt>
              </c:numCache>
            </c:numRef>
          </c:val>
        </c:ser>
        <c:ser>
          <c:idx val="2"/>
          <c:order val="2"/>
          <c:tx>
            <c:strRef>
              <c:f>'Whole Country'!$AN$784</c:f>
              <c:strCache>
                <c:ptCount val="1"/>
                <c:pt idx="0">
                  <c:v>Average</c:v>
                </c:pt>
              </c:strCache>
            </c:strRef>
          </c:tx>
          <c:spPr>
            <a:ln w="47625">
              <a:noFill/>
            </a:ln>
            <a:effectLst>
              <a:outerShdw blurRad="50800" dist="38100" dir="2700000" algn="tl" rotWithShape="0">
                <a:srgbClr val="002060">
                  <a:alpha val="40000"/>
                </a:srgbClr>
              </a:outerShdw>
            </a:effectLst>
          </c:spPr>
          <c:marker>
            <c:symbol val="dash"/>
            <c:size val="9"/>
            <c:spPr>
              <a:solidFill>
                <a:srgbClr val="002060"/>
              </a:solidFill>
              <a:ln>
                <a:solidFill>
                  <a:srgbClr val="002060"/>
                </a:solidFill>
              </a:ln>
              <a:effectLst>
                <a:outerShdw blurRad="50800" dist="38100" dir="2700000" algn="tl" rotWithShape="0">
                  <a:srgbClr val="002060">
                    <a:alpha val="40000"/>
                  </a:srgbClr>
                </a:outerShdw>
              </a:effectLst>
            </c:spPr>
          </c:marker>
          <c:cat>
            <c:strRef>
              <c:f>'Whole Country'!$AK$785:$AK$798</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Country'!$AN$785:$AN$798</c:f>
              <c:numCache>
                <c:formatCode>General</c:formatCode>
                <c:ptCount val="14"/>
                <c:pt idx="0">
                  <c:v>146</c:v>
                </c:pt>
                <c:pt idx="1">
                  <c:v>241</c:v>
                </c:pt>
                <c:pt idx="2">
                  <c:v>144</c:v>
                </c:pt>
                <c:pt idx="3">
                  <c:v>135</c:v>
                </c:pt>
                <c:pt idx="4">
                  <c:v>103</c:v>
                </c:pt>
                <c:pt idx="5">
                  <c:v>292</c:v>
                </c:pt>
                <c:pt idx="6">
                  <c:v>135</c:v>
                </c:pt>
                <c:pt idx="7">
                  <c:v>137</c:v>
                </c:pt>
                <c:pt idx="8">
                  <c:v>299</c:v>
                </c:pt>
                <c:pt idx="9">
                  <c:v>119</c:v>
                </c:pt>
                <c:pt idx="10">
                  <c:v>109</c:v>
                </c:pt>
                <c:pt idx="11">
                  <c:v>117</c:v>
                </c:pt>
                <c:pt idx="12">
                  <c:v>187</c:v>
                </c:pt>
                <c:pt idx="13">
                  <c:v>213</c:v>
                </c:pt>
              </c:numCache>
            </c:numRef>
          </c:val>
        </c:ser>
        <c:hiLowLines>
          <c:spPr>
            <a:ln w="34925">
              <a:solidFill>
                <a:srgbClr val="FF0000"/>
              </a:solidFill>
            </a:ln>
          </c:spPr>
        </c:hiLowLines>
        <c:axId val="66682880"/>
        <c:axId val="66685568"/>
      </c:stockChart>
      <c:catAx>
        <c:axId val="66682880"/>
        <c:scaling>
          <c:orientation val="minMax"/>
        </c:scaling>
        <c:axPos val="b"/>
        <c:majorTickMark val="none"/>
        <c:tickLblPos val="nextTo"/>
        <c:crossAx val="66685568"/>
        <c:crosses val="autoZero"/>
        <c:auto val="1"/>
        <c:lblAlgn val="ctr"/>
        <c:lblOffset val="100"/>
      </c:catAx>
      <c:valAx>
        <c:axId val="66685568"/>
        <c:scaling>
          <c:orientation val="minMax"/>
        </c:scaling>
        <c:axPos val="l"/>
        <c:majorGridlines/>
        <c:title>
          <c:tx>
            <c:rich>
              <a:bodyPr/>
              <a:lstStyle/>
              <a:p>
                <a:pPr>
                  <a:defRPr/>
                </a:pPr>
                <a:r>
                  <a:rPr lang="en-US"/>
                  <a:t>Amount R</a:t>
                </a:r>
              </a:p>
            </c:rich>
          </c:tx>
          <c:layout/>
        </c:title>
        <c:numFmt formatCode="#,##0.00" sourceLinked="0"/>
        <c:majorTickMark val="none"/>
        <c:tickLblPos val="nextTo"/>
        <c:crossAx val="66682880"/>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ZA"/>
  <c:style val="24"/>
  <c:chart>
    <c:title>
      <c:tx>
        <c:rich>
          <a:bodyPr/>
          <a:lstStyle/>
          <a:p>
            <a:pPr>
              <a:defRPr sz="1100"/>
            </a:pPr>
            <a:r>
              <a:rPr lang="en-US" sz="1100"/>
              <a:t>Fica Cost Recovery</a:t>
            </a:r>
          </a:p>
        </c:rich>
      </c:tx>
      <c:layout/>
    </c:title>
    <c:plotArea>
      <c:layout/>
      <c:stockChart>
        <c:ser>
          <c:idx val="0"/>
          <c:order val="0"/>
          <c:tx>
            <c:strRef>
              <c:f>'Whole Country'!$R$749</c:f>
              <c:strCache>
                <c:ptCount val="1"/>
                <c:pt idx="0">
                  <c:v>Low</c:v>
                </c:pt>
              </c:strCache>
            </c:strRef>
          </c:tx>
          <c:spPr>
            <a:ln w="47625">
              <a:noFill/>
            </a:ln>
          </c:spPr>
          <c:marker>
            <c:symbol val="none"/>
          </c:marker>
          <c:cat>
            <c:strRef>
              <c:f>'Whole Country'!$Q$750:$Q$763</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Country'!$R$750:$R$763</c:f>
              <c:numCache>
                <c:formatCode>General</c:formatCode>
                <c:ptCount val="14"/>
                <c:pt idx="0">
                  <c:v>2</c:v>
                </c:pt>
                <c:pt idx="1">
                  <c:v>65</c:v>
                </c:pt>
                <c:pt idx="2">
                  <c:v>100</c:v>
                </c:pt>
                <c:pt idx="3">
                  <c:v>150</c:v>
                </c:pt>
                <c:pt idx="4">
                  <c:v>100</c:v>
                </c:pt>
                <c:pt idx="5">
                  <c:v>107</c:v>
                </c:pt>
                <c:pt idx="6">
                  <c:v>30</c:v>
                </c:pt>
                <c:pt idx="7">
                  <c:v>100</c:v>
                </c:pt>
                <c:pt idx="8">
                  <c:v>200</c:v>
                </c:pt>
                <c:pt idx="9">
                  <c:v>40</c:v>
                </c:pt>
                <c:pt idx="10">
                  <c:v>109</c:v>
                </c:pt>
                <c:pt idx="11">
                  <c:v>150</c:v>
                </c:pt>
                <c:pt idx="12">
                  <c:v>125</c:v>
                </c:pt>
                <c:pt idx="13">
                  <c:v>2</c:v>
                </c:pt>
              </c:numCache>
            </c:numRef>
          </c:val>
        </c:ser>
        <c:ser>
          <c:idx val="1"/>
          <c:order val="1"/>
          <c:tx>
            <c:strRef>
              <c:f>'Whole Country'!$S$749</c:f>
              <c:strCache>
                <c:ptCount val="1"/>
                <c:pt idx="0">
                  <c:v>High</c:v>
                </c:pt>
              </c:strCache>
            </c:strRef>
          </c:tx>
          <c:spPr>
            <a:ln w="47625">
              <a:noFill/>
            </a:ln>
          </c:spPr>
          <c:marker>
            <c:symbol val="none"/>
          </c:marker>
          <c:cat>
            <c:strRef>
              <c:f>'Whole Country'!$Q$750:$Q$763</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Country'!$S$750:$S$763</c:f>
              <c:numCache>
                <c:formatCode>General</c:formatCode>
                <c:ptCount val="14"/>
                <c:pt idx="0">
                  <c:v>700</c:v>
                </c:pt>
                <c:pt idx="1">
                  <c:v>500</c:v>
                </c:pt>
                <c:pt idx="2">
                  <c:v>650</c:v>
                </c:pt>
                <c:pt idx="3">
                  <c:v>500</c:v>
                </c:pt>
                <c:pt idx="4">
                  <c:v>450</c:v>
                </c:pt>
                <c:pt idx="5">
                  <c:v>550</c:v>
                </c:pt>
                <c:pt idx="6">
                  <c:v>400</c:v>
                </c:pt>
                <c:pt idx="7">
                  <c:v>570</c:v>
                </c:pt>
                <c:pt idx="8">
                  <c:v>570</c:v>
                </c:pt>
                <c:pt idx="9">
                  <c:v>440</c:v>
                </c:pt>
                <c:pt idx="10">
                  <c:v>399</c:v>
                </c:pt>
                <c:pt idx="11">
                  <c:v>450</c:v>
                </c:pt>
                <c:pt idx="12">
                  <c:v>450</c:v>
                </c:pt>
                <c:pt idx="13">
                  <c:v>700</c:v>
                </c:pt>
              </c:numCache>
            </c:numRef>
          </c:val>
        </c:ser>
        <c:ser>
          <c:idx val="2"/>
          <c:order val="2"/>
          <c:tx>
            <c:strRef>
              <c:f>'Whole Country'!$T$749</c:f>
              <c:strCache>
                <c:ptCount val="1"/>
                <c:pt idx="0">
                  <c:v>Average</c:v>
                </c:pt>
              </c:strCache>
            </c:strRef>
          </c:tx>
          <c:spPr>
            <a:ln w="47625">
              <a:noFill/>
            </a:ln>
            <a:effectLst>
              <a:outerShdw blurRad="50800" dist="38100" dir="2700000" algn="tl" rotWithShape="0">
                <a:srgbClr val="002060">
                  <a:alpha val="40000"/>
                </a:srgbClr>
              </a:outerShdw>
            </a:effectLst>
          </c:spPr>
          <c:marker>
            <c:symbol val="dash"/>
            <c:size val="9"/>
            <c:spPr>
              <a:solidFill>
                <a:srgbClr val="002060"/>
              </a:solidFill>
              <a:ln>
                <a:solidFill>
                  <a:srgbClr val="002060"/>
                </a:solidFill>
              </a:ln>
              <a:effectLst>
                <a:outerShdw blurRad="50800" dist="38100" dir="2700000" algn="tl" rotWithShape="0">
                  <a:srgbClr val="002060">
                    <a:alpha val="40000"/>
                  </a:srgbClr>
                </a:outerShdw>
              </a:effectLst>
            </c:spPr>
          </c:marker>
          <c:cat>
            <c:strRef>
              <c:f>'Whole Country'!$Q$750:$Q$763</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Country'!$T$750:$T$763</c:f>
              <c:numCache>
                <c:formatCode>General</c:formatCode>
                <c:ptCount val="14"/>
                <c:pt idx="0">
                  <c:v>295</c:v>
                </c:pt>
                <c:pt idx="1">
                  <c:v>241</c:v>
                </c:pt>
                <c:pt idx="2">
                  <c:v>304</c:v>
                </c:pt>
                <c:pt idx="3">
                  <c:v>295</c:v>
                </c:pt>
                <c:pt idx="4">
                  <c:v>261</c:v>
                </c:pt>
                <c:pt idx="5">
                  <c:v>292</c:v>
                </c:pt>
                <c:pt idx="6">
                  <c:v>280</c:v>
                </c:pt>
                <c:pt idx="7">
                  <c:v>298</c:v>
                </c:pt>
                <c:pt idx="8">
                  <c:v>337</c:v>
                </c:pt>
                <c:pt idx="9">
                  <c:v>265</c:v>
                </c:pt>
                <c:pt idx="10">
                  <c:v>272</c:v>
                </c:pt>
                <c:pt idx="11">
                  <c:v>312</c:v>
                </c:pt>
                <c:pt idx="12">
                  <c:v>235</c:v>
                </c:pt>
                <c:pt idx="13">
                  <c:v>314</c:v>
                </c:pt>
              </c:numCache>
            </c:numRef>
          </c:val>
        </c:ser>
        <c:hiLowLines>
          <c:spPr>
            <a:ln w="34925">
              <a:solidFill>
                <a:srgbClr val="FF0000"/>
              </a:solidFill>
            </a:ln>
          </c:spPr>
        </c:hiLowLines>
        <c:axId val="68927872"/>
        <c:axId val="68929408"/>
      </c:stockChart>
      <c:catAx>
        <c:axId val="68927872"/>
        <c:scaling>
          <c:orientation val="minMax"/>
        </c:scaling>
        <c:axPos val="b"/>
        <c:majorTickMark val="none"/>
        <c:tickLblPos val="nextTo"/>
        <c:crossAx val="68929408"/>
        <c:crosses val="autoZero"/>
        <c:auto val="1"/>
        <c:lblAlgn val="ctr"/>
        <c:lblOffset val="100"/>
      </c:catAx>
      <c:valAx>
        <c:axId val="68929408"/>
        <c:scaling>
          <c:orientation val="minMax"/>
        </c:scaling>
        <c:axPos val="l"/>
        <c:majorGridlines/>
        <c:title>
          <c:tx>
            <c:rich>
              <a:bodyPr/>
              <a:lstStyle/>
              <a:p>
                <a:pPr>
                  <a:defRPr/>
                </a:pPr>
                <a:r>
                  <a:rPr lang="en-US"/>
                  <a:t>Amount R</a:t>
                </a:r>
              </a:p>
            </c:rich>
          </c:tx>
          <c:layout/>
        </c:title>
        <c:numFmt formatCode="#,##0.00" sourceLinked="0"/>
        <c:majorTickMark val="none"/>
        <c:tickLblPos val="nextTo"/>
        <c:crossAx val="68927872"/>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ZA"/>
  <c:style val="26"/>
  <c:chart>
    <c:title>
      <c:tx>
        <c:rich>
          <a:bodyPr/>
          <a:lstStyle/>
          <a:p>
            <a:pPr>
              <a:defRPr sz="1100"/>
            </a:pPr>
            <a:r>
              <a:rPr lang="en-US" sz="1100"/>
              <a:t>Have you increased the conveyancing tariff?</a:t>
            </a:r>
          </a:p>
        </c:rich>
      </c:tx>
      <c:layout>
        <c:manualLayout>
          <c:xMode val="edge"/>
          <c:yMode val="edge"/>
          <c:x val="0.24042221032450001"/>
          <c:y val="3.7453183520599481E-2"/>
        </c:manualLayout>
      </c:layout>
    </c:title>
    <c:plotArea>
      <c:layout>
        <c:manualLayout>
          <c:layoutTarget val="inner"/>
          <c:xMode val="edge"/>
          <c:yMode val="edge"/>
          <c:x val="0.10824872166973112"/>
          <c:y val="0.22379220855820073"/>
          <c:w val="0.7482380365105038"/>
          <c:h val="0.65676634521808375"/>
        </c:manualLayout>
      </c:layout>
      <c:barChart>
        <c:barDir val="col"/>
        <c:grouping val="clustered"/>
        <c:ser>
          <c:idx val="0"/>
          <c:order val="0"/>
          <c:tx>
            <c:strRef>
              <c:f>'Whole Country'!$V$686</c:f>
              <c:strCache>
                <c:ptCount val="1"/>
                <c:pt idx="0">
                  <c:v>Yes</c:v>
                </c:pt>
              </c:strCache>
            </c:strRef>
          </c:tx>
          <c:val>
            <c:numRef>
              <c:f>'Whole Country'!$W$686</c:f>
              <c:numCache>
                <c:formatCode>0.00</c:formatCode>
                <c:ptCount val="1"/>
                <c:pt idx="0">
                  <c:v>20.127118644067796</c:v>
                </c:pt>
              </c:numCache>
            </c:numRef>
          </c:val>
        </c:ser>
        <c:ser>
          <c:idx val="1"/>
          <c:order val="1"/>
          <c:tx>
            <c:strRef>
              <c:f>'Whole Country'!$V$687</c:f>
              <c:strCache>
                <c:ptCount val="1"/>
                <c:pt idx="0">
                  <c:v>No</c:v>
                </c:pt>
              </c:strCache>
            </c:strRef>
          </c:tx>
          <c:val>
            <c:numRef>
              <c:f>'Whole Country'!$W$687</c:f>
              <c:numCache>
                <c:formatCode>0.00</c:formatCode>
                <c:ptCount val="1"/>
                <c:pt idx="0">
                  <c:v>79.872881355932208</c:v>
                </c:pt>
              </c:numCache>
            </c:numRef>
          </c:val>
        </c:ser>
        <c:ser>
          <c:idx val="2"/>
          <c:order val="2"/>
          <c:tx>
            <c:strRef>
              <c:f>'Whole Country'!$V$688</c:f>
              <c:strCache>
                <c:ptCount val="1"/>
                <c:pt idx="0">
                  <c:v>% Average of those who have</c:v>
                </c:pt>
              </c:strCache>
            </c:strRef>
          </c:tx>
          <c:val>
            <c:numRef>
              <c:f>'Whole Country'!$W$688</c:f>
              <c:numCache>
                <c:formatCode>0.0</c:formatCode>
                <c:ptCount val="1"/>
                <c:pt idx="0">
                  <c:v>10.571428571428571</c:v>
                </c:pt>
              </c:numCache>
            </c:numRef>
          </c:val>
        </c:ser>
        <c:axId val="118104448"/>
        <c:axId val="118105984"/>
      </c:barChart>
      <c:catAx>
        <c:axId val="118104448"/>
        <c:scaling>
          <c:orientation val="minMax"/>
        </c:scaling>
        <c:delete val="1"/>
        <c:axPos val="b"/>
        <c:majorTickMark val="none"/>
        <c:tickLblPos val="none"/>
        <c:crossAx val="118105984"/>
        <c:crosses val="autoZero"/>
        <c:auto val="1"/>
        <c:lblAlgn val="ctr"/>
        <c:lblOffset val="100"/>
      </c:catAx>
      <c:valAx>
        <c:axId val="118105984"/>
        <c:scaling>
          <c:orientation val="minMax"/>
        </c:scaling>
        <c:axPos val="l"/>
        <c:majorGridlines/>
        <c:title>
          <c:tx>
            <c:rich>
              <a:bodyPr rot="-5400000" vert="horz"/>
              <a:lstStyle/>
              <a:p>
                <a:pPr>
                  <a:defRPr/>
                </a:pPr>
                <a:r>
                  <a:rPr lang="en-US"/>
                  <a:t>Percentage</a:t>
                </a:r>
              </a:p>
            </c:rich>
          </c:tx>
          <c:layout/>
        </c:title>
        <c:numFmt formatCode="0" sourceLinked="0"/>
        <c:majorTickMark val="none"/>
        <c:tickLblPos val="nextTo"/>
        <c:crossAx val="118104448"/>
        <c:crosses val="autoZero"/>
        <c:crossBetween val="between"/>
      </c:valAx>
    </c:plotArea>
    <c:legend>
      <c:legendPos val="r"/>
      <c:layout>
        <c:manualLayout>
          <c:xMode val="edge"/>
          <c:yMode val="edge"/>
          <c:x val="0.85644408906717984"/>
          <c:y val="0.34532071131558351"/>
          <c:w val="0.12978654776586671"/>
          <c:h val="0.49156831519655791"/>
        </c:manualLayout>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ZA"/>
  <c:style val="26"/>
  <c:chart>
    <c:title>
      <c:tx>
        <c:rich>
          <a:bodyPr/>
          <a:lstStyle/>
          <a:p>
            <a:pPr>
              <a:defRPr sz="1100"/>
            </a:pPr>
            <a:r>
              <a:rPr lang="en-US" sz="1100"/>
              <a:t>Do you charge a minimum fee for? …</a:t>
            </a:r>
          </a:p>
        </c:rich>
      </c:tx>
      <c:layout/>
    </c:title>
    <c:plotArea>
      <c:layout>
        <c:manualLayout>
          <c:layoutTarget val="inner"/>
          <c:xMode val="edge"/>
          <c:yMode val="edge"/>
          <c:x val="0.11050094641784236"/>
          <c:y val="0.13015924975670176"/>
          <c:w val="0.74823803651050325"/>
          <c:h val="0.65676634521808375"/>
        </c:manualLayout>
      </c:layout>
      <c:barChart>
        <c:barDir val="col"/>
        <c:grouping val="clustered"/>
        <c:ser>
          <c:idx val="0"/>
          <c:order val="0"/>
          <c:tx>
            <c:strRef>
              <c:f>'Whole Country'!$X$691</c:f>
              <c:strCache>
                <c:ptCount val="1"/>
                <c:pt idx="0">
                  <c:v>Yes</c:v>
                </c:pt>
              </c:strCache>
            </c:strRef>
          </c:tx>
          <c:cat>
            <c:strRef>
              <c:f>'Whole Country'!$Y$690:$AA$690</c:f>
              <c:strCache>
                <c:ptCount val="3"/>
                <c:pt idx="0">
                  <c:v>Bonds</c:v>
                </c:pt>
                <c:pt idx="1">
                  <c:v>Transfers</c:v>
                </c:pt>
                <c:pt idx="2">
                  <c:v>Cancellations</c:v>
                </c:pt>
              </c:strCache>
            </c:strRef>
          </c:cat>
          <c:val>
            <c:numRef>
              <c:f>'Whole Country'!$Y$691:$AA$691</c:f>
              <c:numCache>
                <c:formatCode>0.00</c:formatCode>
                <c:ptCount val="3"/>
                <c:pt idx="0">
                  <c:v>51.612903225806448</c:v>
                </c:pt>
                <c:pt idx="1">
                  <c:v>56.92307692307692</c:v>
                </c:pt>
                <c:pt idx="2">
                  <c:v>53.125</c:v>
                </c:pt>
              </c:numCache>
            </c:numRef>
          </c:val>
        </c:ser>
        <c:ser>
          <c:idx val="1"/>
          <c:order val="1"/>
          <c:tx>
            <c:strRef>
              <c:f>'Whole Country'!$X$692</c:f>
              <c:strCache>
                <c:ptCount val="1"/>
                <c:pt idx="0">
                  <c:v>No</c:v>
                </c:pt>
              </c:strCache>
            </c:strRef>
          </c:tx>
          <c:cat>
            <c:strRef>
              <c:f>'Whole Country'!$Y$690:$AA$690</c:f>
              <c:strCache>
                <c:ptCount val="3"/>
                <c:pt idx="0">
                  <c:v>Bonds</c:v>
                </c:pt>
                <c:pt idx="1">
                  <c:v>Transfers</c:v>
                </c:pt>
                <c:pt idx="2">
                  <c:v>Cancellations</c:v>
                </c:pt>
              </c:strCache>
            </c:strRef>
          </c:cat>
          <c:val>
            <c:numRef>
              <c:f>'Whole Country'!$Y$692:$AA$692</c:f>
              <c:numCache>
                <c:formatCode>0.00</c:formatCode>
                <c:ptCount val="3"/>
                <c:pt idx="0">
                  <c:v>48.387096774193552</c:v>
                </c:pt>
                <c:pt idx="1">
                  <c:v>43.07692307692308</c:v>
                </c:pt>
                <c:pt idx="2">
                  <c:v>46.875</c:v>
                </c:pt>
              </c:numCache>
            </c:numRef>
          </c:val>
        </c:ser>
        <c:axId val="118354688"/>
        <c:axId val="118356224"/>
      </c:barChart>
      <c:catAx>
        <c:axId val="118354688"/>
        <c:scaling>
          <c:orientation val="minMax"/>
        </c:scaling>
        <c:axPos val="b"/>
        <c:majorTickMark val="none"/>
        <c:tickLblPos val="nextTo"/>
        <c:crossAx val="118356224"/>
        <c:crosses val="autoZero"/>
        <c:auto val="1"/>
        <c:lblAlgn val="ctr"/>
        <c:lblOffset val="100"/>
      </c:catAx>
      <c:valAx>
        <c:axId val="118356224"/>
        <c:scaling>
          <c:orientation val="minMax"/>
        </c:scaling>
        <c:axPos val="l"/>
        <c:majorGridlines/>
        <c:title>
          <c:tx>
            <c:rich>
              <a:bodyPr rot="-5400000" vert="horz"/>
              <a:lstStyle/>
              <a:p>
                <a:pPr>
                  <a:defRPr/>
                </a:pPr>
                <a:r>
                  <a:rPr lang="en-US"/>
                  <a:t>Percentage</a:t>
                </a:r>
              </a:p>
            </c:rich>
          </c:tx>
          <c:layout/>
        </c:title>
        <c:numFmt formatCode="0" sourceLinked="0"/>
        <c:majorTickMark val="none"/>
        <c:tickLblPos val="nextTo"/>
        <c:crossAx val="118354688"/>
        <c:crosses val="autoZero"/>
        <c:crossBetween val="between"/>
      </c:valAx>
    </c:plotArea>
    <c:legend>
      <c:legendPos val="r"/>
      <c:layout>
        <c:manualLayout>
          <c:xMode val="edge"/>
          <c:yMode val="edge"/>
          <c:x val="0.85644408906717984"/>
          <c:y val="0.34532071131558323"/>
          <c:w val="0.12978654776586671"/>
          <c:h val="0.49156831519655775"/>
        </c:manualLayout>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ZA"/>
  <c:style val="26"/>
  <c:chart>
    <c:title>
      <c:tx>
        <c:rich>
          <a:bodyPr/>
          <a:lstStyle/>
          <a:p>
            <a:pPr>
              <a:defRPr sz="1100"/>
            </a:pPr>
            <a:r>
              <a:rPr lang="en-US" sz="1100"/>
              <a:t>Fee discounting and transactional billing mark-ups</a:t>
            </a:r>
          </a:p>
        </c:rich>
      </c:tx>
      <c:layout/>
    </c:title>
    <c:plotArea>
      <c:layout>
        <c:manualLayout>
          <c:layoutTarget val="inner"/>
          <c:xMode val="edge"/>
          <c:yMode val="edge"/>
          <c:x val="0.11050094641784236"/>
          <c:y val="0.13015924975670176"/>
          <c:w val="0.7482380365105038"/>
          <c:h val="0.65676634521808375"/>
        </c:manualLayout>
      </c:layout>
      <c:barChart>
        <c:barDir val="col"/>
        <c:grouping val="clustered"/>
        <c:ser>
          <c:idx val="0"/>
          <c:order val="0"/>
          <c:tx>
            <c:strRef>
              <c:f>'Whole Country'!$AA$700</c:f>
              <c:strCache>
                <c:ptCount val="1"/>
                <c:pt idx="0">
                  <c:v>Low</c:v>
                </c:pt>
              </c:strCache>
            </c:strRef>
          </c:tx>
          <c:cat>
            <c:strRef>
              <c:f>'Whole Country'!$AB$699:$AC$699</c:f>
              <c:strCache>
                <c:ptCount val="2"/>
                <c:pt idx="0">
                  <c:v>Fee discount</c:v>
                </c:pt>
                <c:pt idx="1">
                  <c:v>Markup on transactional billing</c:v>
                </c:pt>
              </c:strCache>
            </c:strRef>
          </c:cat>
          <c:val>
            <c:numRef>
              <c:f>'Whole Country'!$AB$700:$AC$700</c:f>
              <c:numCache>
                <c:formatCode>0.00</c:formatCode>
                <c:ptCount val="2"/>
                <c:pt idx="0">
                  <c:v>2</c:v>
                </c:pt>
                <c:pt idx="1">
                  <c:v>2</c:v>
                </c:pt>
              </c:numCache>
            </c:numRef>
          </c:val>
        </c:ser>
        <c:ser>
          <c:idx val="1"/>
          <c:order val="1"/>
          <c:tx>
            <c:strRef>
              <c:f>'Whole Country'!$AA$701</c:f>
              <c:strCache>
                <c:ptCount val="1"/>
                <c:pt idx="0">
                  <c:v>Average </c:v>
                </c:pt>
              </c:strCache>
            </c:strRef>
          </c:tx>
          <c:cat>
            <c:strRef>
              <c:f>'Whole Country'!$AB$699:$AC$699</c:f>
              <c:strCache>
                <c:ptCount val="2"/>
                <c:pt idx="0">
                  <c:v>Fee discount</c:v>
                </c:pt>
                <c:pt idx="1">
                  <c:v>Markup on transactional billing</c:v>
                </c:pt>
              </c:strCache>
            </c:strRef>
          </c:cat>
          <c:val>
            <c:numRef>
              <c:f>'Whole Country'!$AB$701:$AC$701</c:f>
              <c:numCache>
                <c:formatCode>0.00</c:formatCode>
                <c:ptCount val="2"/>
                <c:pt idx="0">
                  <c:v>18.485294117647058</c:v>
                </c:pt>
                <c:pt idx="1">
                  <c:v>17.307843137254903</c:v>
                </c:pt>
              </c:numCache>
            </c:numRef>
          </c:val>
        </c:ser>
        <c:ser>
          <c:idx val="2"/>
          <c:order val="2"/>
          <c:tx>
            <c:strRef>
              <c:f>'Whole Country'!$AA$702</c:f>
              <c:strCache>
                <c:ptCount val="1"/>
                <c:pt idx="0">
                  <c:v>High</c:v>
                </c:pt>
              </c:strCache>
            </c:strRef>
          </c:tx>
          <c:cat>
            <c:strRef>
              <c:f>'Whole Country'!$AB$699:$AC$699</c:f>
              <c:strCache>
                <c:ptCount val="2"/>
                <c:pt idx="0">
                  <c:v>Fee discount</c:v>
                </c:pt>
                <c:pt idx="1">
                  <c:v>Markup on transactional billing</c:v>
                </c:pt>
              </c:strCache>
            </c:strRef>
          </c:cat>
          <c:val>
            <c:numRef>
              <c:f>'Whole Country'!$AB$702:$AC$702</c:f>
              <c:numCache>
                <c:formatCode>0.00</c:formatCode>
                <c:ptCount val="2"/>
                <c:pt idx="0">
                  <c:v>80</c:v>
                </c:pt>
                <c:pt idx="1">
                  <c:v>100</c:v>
                </c:pt>
              </c:numCache>
            </c:numRef>
          </c:val>
        </c:ser>
        <c:ser>
          <c:idx val="3"/>
          <c:order val="3"/>
          <c:tx>
            <c:strRef>
              <c:f>'Whole Country'!$AA$703</c:f>
              <c:strCache>
                <c:ptCount val="1"/>
                <c:pt idx="0">
                  <c:v>Don't as a %</c:v>
                </c:pt>
              </c:strCache>
            </c:strRef>
          </c:tx>
          <c:cat>
            <c:strRef>
              <c:f>'Whole Country'!$AB$699:$AC$699</c:f>
              <c:strCache>
                <c:ptCount val="2"/>
                <c:pt idx="0">
                  <c:v>Fee discount</c:v>
                </c:pt>
                <c:pt idx="1">
                  <c:v>Markup on transactional billing</c:v>
                </c:pt>
              </c:strCache>
            </c:strRef>
          </c:cat>
          <c:val>
            <c:numRef>
              <c:f>'Whole Country'!$AB$703:$AC$703</c:f>
              <c:numCache>
                <c:formatCode>0.00</c:formatCode>
                <c:ptCount val="2"/>
                <c:pt idx="0">
                  <c:v>12.068965517241379</c:v>
                </c:pt>
                <c:pt idx="1">
                  <c:v>87.281795511221944</c:v>
                </c:pt>
              </c:numCache>
            </c:numRef>
          </c:val>
        </c:ser>
        <c:axId val="67581440"/>
        <c:axId val="67583360"/>
      </c:barChart>
      <c:catAx>
        <c:axId val="67581440"/>
        <c:scaling>
          <c:orientation val="minMax"/>
        </c:scaling>
        <c:axPos val="b"/>
        <c:majorTickMark val="none"/>
        <c:tickLblPos val="nextTo"/>
        <c:crossAx val="67583360"/>
        <c:crosses val="autoZero"/>
        <c:auto val="1"/>
        <c:lblAlgn val="ctr"/>
        <c:lblOffset val="100"/>
      </c:catAx>
      <c:valAx>
        <c:axId val="67583360"/>
        <c:scaling>
          <c:orientation val="minMax"/>
        </c:scaling>
        <c:axPos val="l"/>
        <c:majorGridlines/>
        <c:title>
          <c:tx>
            <c:rich>
              <a:bodyPr rot="-5400000" vert="horz"/>
              <a:lstStyle/>
              <a:p>
                <a:pPr>
                  <a:defRPr/>
                </a:pPr>
                <a:r>
                  <a:rPr lang="en-ZA"/>
                  <a:t>Percentage</a:t>
                </a:r>
              </a:p>
            </c:rich>
          </c:tx>
          <c:layout/>
        </c:title>
        <c:numFmt formatCode="0" sourceLinked="0"/>
        <c:majorTickMark val="none"/>
        <c:tickLblPos val="nextTo"/>
        <c:crossAx val="67581440"/>
        <c:crosses val="autoZero"/>
        <c:crossBetween val="between"/>
      </c:valAx>
    </c:plotArea>
    <c:legend>
      <c:legendPos val="r"/>
      <c:layout>
        <c:manualLayout>
          <c:xMode val="edge"/>
          <c:yMode val="edge"/>
          <c:x val="0.85644408906717984"/>
          <c:y val="0.34532071131558351"/>
          <c:w val="0.14355587295951674"/>
          <c:h val="0.27090506945058834"/>
        </c:manualLayout>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ZA"/>
  <c:style val="26"/>
  <c:chart>
    <c:title>
      <c:tx>
        <c:rich>
          <a:bodyPr/>
          <a:lstStyle/>
          <a:p>
            <a:pPr>
              <a:defRPr sz="1100"/>
            </a:pPr>
            <a:endParaRPr lang="en-US" sz="1100"/>
          </a:p>
          <a:p>
            <a:pPr>
              <a:defRPr sz="1100"/>
            </a:pPr>
            <a:r>
              <a:rPr lang="en-US" sz="1100"/>
              <a:t>Average fee discounting and transactional billing mark-ups</a:t>
            </a:r>
          </a:p>
        </c:rich>
      </c:tx>
      <c:layout/>
    </c:title>
    <c:plotArea>
      <c:layout/>
      <c:barChart>
        <c:barDir val="col"/>
        <c:grouping val="clustered"/>
        <c:ser>
          <c:idx val="0"/>
          <c:order val="0"/>
          <c:tx>
            <c:strRef>
              <c:f>'Whole Country'!$AB$802</c:f>
              <c:strCache>
                <c:ptCount val="1"/>
                <c:pt idx="0">
                  <c:v>Fee Discount</c:v>
                </c:pt>
              </c:strCache>
            </c:strRef>
          </c:tx>
          <c:cat>
            <c:strRef>
              <c:f>'Whole Country'!$AA$803:$AA$816</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Country'!$AB$803:$AB$816</c:f>
              <c:numCache>
                <c:formatCode>General</c:formatCode>
                <c:ptCount val="14"/>
                <c:pt idx="0">
                  <c:v>18</c:v>
                </c:pt>
                <c:pt idx="1">
                  <c:v>18.75</c:v>
                </c:pt>
                <c:pt idx="2">
                  <c:v>19.100000000000001</c:v>
                </c:pt>
                <c:pt idx="3">
                  <c:v>17.190000000000001</c:v>
                </c:pt>
                <c:pt idx="4">
                  <c:v>15.5</c:v>
                </c:pt>
                <c:pt idx="5">
                  <c:v>21.4</c:v>
                </c:pt>
                <c:pt idx="6">
                  <c:v>23.8</c:v>
                </c:pt>
                <c:pt idx="7">
                  <c:v>18.7</c:v>
                </c:pt>
                <c:pt idx="8">
                  <c:v>14.58</c:v>
                </c:pt>
                <c:pt idx="9">
                  <c:v>16</c:v>
                </c:pt>
                <c:pt idx="10">
                  <c:v>17.7</c:v>
                </c:pt>
                <c:pt idx="11">
                  <c:v>18</c:v>
                </c:pt>
                <c:pt idx="12">
                  <c:v>12.3</c:v>
                </c:pt>
                <c:pt idx="13">
                  <c:v>19.100000000000001</c:v>
                </c:pt>
              </c:numCache>
            </c:numRef>
          </c:val>
        </c:ser>
        <c:ser>
          <c:idx val="1"/>
          <c:order val="1"/>
          <c:tx>
            <c:strRef>
              <c:f>'Whole Country'!$AC$802</c:f>
              <c:strCache>
                <c:ptCount val="1"/>
                <c:pt idx="0">
                  <c:v>Transactional billing mark-up</c:v>
                </c:pt>
              </c:strCache>
            </c:strRef>
          </c:tx>
          <c:cat>
            <c:strRef>
              <c:f>'Whole Country'!$AA$803:$AA$816</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Country'!$AC$803:$AC$816</c:f>
              <c:numCache>
                <c:formatCode>General</c:formatCode>
                <c:ptCount val="14"/>
                <c:pt idx="0">
                  <c:v>17.3</c:v>
                </c:pt>
                <c:pt idx="1">
                  <c:v>12</c:v>
                </c:pt>
                <c:pt idx="2">
                  <c:v>20</c:v>
                </c:pt>
                <c:pt idx="3">
                  <c:v>12.9</c:v>
                </c:pt>
                <c:pt idx="4">
                  <c:v>5</c:v>
                </c:pt>
                <c:pt idx="5">
                  <c:v>23.7</c:v>
                </c:pt>
                <c:pt idx="6">
                  <c:v>14</c:v>
                </c:pt>
                <c:pt idx="7">
                  <c:v>33.9</c:v>
                </c:pt>
                <c:pt idx="8">
                  <c:v>0</c:v>
                </c:pt>
                <c:pt idx="9">
                  <c:v>25</c:v>
                </c:pt>
                <c:pt idx="10">
                  <c:v>9</c:v>
                </c:pt>
                <c:pt idx="11">
                  <c:v>10</c:v>
                </c:pt>
                <c:pt idx="12">
                  <c:v>0</c:v>
                </c:pt>
                <c:pt idx="13">
                  <c:v>14.1</c:v>
                </c:pt>
              </c:numCache>
            </c:numRef>
          </c:val>
        </c:ser>
        <c:axId val="66664320"/>
        <c:axId val="66707840"/>
      </c:barChart>
      <c:catAx>
        <c:axId val="66664320"/>
        <c:scaling>
          <c:orientation val="minMax"/>
        </c:scaling>
        <c:axPos val="b"/>
        <c:majorTickMark val="none"/>
        <c:tickLblPos val="nextTo"/>
        <c:crossAx val="66707840"/>
        <c:crosses val="autoZero"/>
        <c:auto val="1"/>
        <c:lblAlgn val="ctr"/>
        <c:lblOffset val="100"/>
      </c:catAx>
      <c:valAx>
        <c:axId val="66707840"/>
        <c:scaling>
          <c:orientation val="minMax"/>
        </c:scaling>
        <c:axPos val="l"/>
        <c:majorGridlines/>
        <c:title>
          <c:tx>
            <c:rich>
              <a:bodyPr/>
              <a:lstStyle/>
              <a:p>
                <a:pPr>
                  <a:defRPr/>
                </a:pPr>
                <a:r>
                  <a:rPr lang="en-US"/>
                  <a:t>Percentage </a:t>
                </a:r>
              </a:p>
            </c:rich>
          </c:tx>
          <c:layout/>
        </c:title>
        <c:numFmt formatCode="0" sourceLinked="0"/>
        <c:majorTickMark val="none"/>
        <c:tickLblPos val="nextTo"/>
        <c:crossAx val="66664320"/>
        <c:crosses val="autoZero"/>
        <c:crossBetween val="between"/>
      </c:valAx>
    </c:plotArea>
    <c:legend>
      <c:legendPos val="b"/>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ZA"/>
  <c:style val="26"/>
  <c:chart>
    <c:title>
      <c:tx>
        <c:rich>
          <a:bodyPr/>
          <a:lstStyle/>
          <a:p>
            <a:pPr>
              <a:defRPr sz="1100"/>
            </a:pPr>
            <a:r>
              <a:rPr lang="en-US" sz="1100"/>
              <a:t>Conveyancer/Secretary ratio</a:t>
            </a:r>
          </a:p>
        </c:rich>
      </c:tx>
      <c:layout>
        <c:manualLayout>
          <c:xMode val="edge"/>
          <c:yMode val="edge"/>
          <c:x val="0.34539713023676916"/>
          <c:y val="5.1416771101810831E-2"/>
        </c:manualLayout>
      </c:layout>
      <c:overlay val="1"/>
    </c:title>
    <c:plotArea>
      <c:layout>
        <c:manualLayout>
          <c:layoutTarget val="inner"/>
          <c:xMode val="edge"/>
          <c:yMode val="edge"/>
          <c:x val="0.13970552461430125"/>
          <c:y val="0.17464866441244478"/>
          <c:w val="0.73970734908136448"/>
          <c:h val="0.79822506561679785"/>
        </c:manualLayout>
      </c:layout>
      <c:pieChart>
        <c:varyColors val="1"/>
        <c:ser>
          <c:idx val="0"/>
          <c:order val="0"/>
          <c:dLbls>
            <c:numFmt formatCode="#,##0.00" sourceLinked="0"/>
            <c:dLblPos val="inEnd"/>
            <c:showVal val="1"/>
          </c:dLbls>
          <c:cat>
            <c:strRef>
              <c:f>'Whole Country'!$AC$686:$AC$687</c:f>
              <c:strCache>
                <c:ptCount val="2"/>
                <c:pt idx="0">
                  <c:v>Conveyancers</c:v>
                </c:pt>
                <c:pt idx="1">
                  <c:v>Secretaries</c:v>
                </c:pt>
              </c:strCache>
            </c:strRef>
          </c:cat>
          <c:val>
            <c:numRef>
              <c:f>'Whole Country'!$AD$686:$AD$687</c:f>
              <c:numCache>
                <c:formatCode>0.00</c:formatCode>
                <c:ptCount val="2"/>
                <c:pt idx="0" formatCode="General">
                  <c:v>1</c:v>
                </c:pt>
                <c:pt idx="1">
                  <c:v>1.8748435544430537</c:v>
                </c:pt>
              </c:numCache>
            </c:numRef>
          </c:val>
        </c:ser>
        <c:firstSliceAng val="53"/>
      </c:pieChart>
    </c:plotArea>
    <c:legend>
      <c:legendPos val="r"/>
      <c:layout/>
      <c:overlay val="1"/>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ZA"/>
  <c:style val="26"/>
  <c:chart>
    <c:title>
      <c:tx>
        <c:rich>
          <a:bodyPr/>
          <a:lstStyle/>
          <a:p>
            <a:pPr>
              <a:defRPr sz="1100"/>
            </a:pPr>
            <a:r>
              <a:rPr lang="en-US" sz="1100"/>
              <a:t>Average monthly salaries of senior secretaries</a:t>
            </a:r>
          </a:p>
        </c:rich>
      </c:tx>
      <c:layout/>
    </c:title>
    <c:plotArea>
      <c:layout>
        <c:manualLayout>
          <c:layoutTarget val="inner"/>
          <c:xMode val="edge"/>
          <c:yMode val="edge"/>
          <c:x val="0.11050094641784236"/>
          <c:y val="0.13015924975670176"/>
          <c:w val="0.7482380365105048"/>
          <c:h val="0.65676634521808375"/>
        </c:manualLayout>
      </c:layout>
      <c:barChart>
        <c:barDir val="col"/>
        <c:grouping val="stacked"/>
        <c:ser>
          <c:idx val="0"/>
          <c:order val="0"/>
          <c:tx>
            <c:strRef>
              <c:f>'Whole Country'!$AH$706</c:f>
              <c:strCache>
                <c:ptCount val="1"/>
                <c:pt idx="0">
                  <c:v>Below R5 000</c:v>
                </c:pt>
              </c:strCache>
            </c:strRef>
          </c:tx>
          <c:cat>
            <c:strRef>
              <c:f>'Whole Country'!$AI$705:$AV$705</c:f>
              <c:strCache>
                <c:ptCount val="14"/>
                <c:pt idx="0">
                  <c:v>National Average</c:v>
                </c:pt>
                <c:pt idx="1">
                  <c:v>Bloemfontein</c:v>
                </c:pt>
                <c:pt idx="2">
                  <c:v>Cape Town</c:v>
                </c:pt>
                <c:pt idx="3">
                  <c:v>Durban</c:v>
                </c:pt>
                <c:pt idx="4">
                  <c:v>Jhb - East</c:v>
                </c:pt>
                <c:pt idx="5">
                  <c:v>Jhb - Sandton</c:v>
                </c:pt>
                <c:pt idx="6">
                  <c:v>Jhb - South</c:v>
                </c:pt>
                <c:pt idx="7">
                  <c:v>Jhb - West</c:v>
                </c:pt>
                <c:pt idx="8">
                  <c:v>Nelspruit</c:v>
                </c:pt>
                <c:pt idx="9">
                  <c:v>PE/EL</c:v>
                </c:pt>
                <c:pt idx="10">
                  <c:v>Pietermaritzburg</c:v>
                </c:pt>
                <c:pt idx="11">
                  <c:v>Polokwane</c:v>
                </c:pt>
                <c:pt idx="12">
                  <c:v>Potchefstroom</c:v>
                </c:pt>
                <c:pt idx="13">
                  <c:v>Pretoria</c:v>
                </c:pt>
              </c:strCache>
            </c:strRef>
          </c:cat>
          <c:val>
            <c:numRef>
              <c:f>'Whole Country'!$AI$706:$AV$706</c:f>
              <c:numCache>
                <c:formatCode>0.0</c:formatCode>
                <c:ptCount val="14"/>
                <c:pt idx="0">
                  <c:v>4.9586776859504136</c:v>
                </c:pt>
                <c:pt idx="1">
                  <c:v>10</c:v>
                </c:pt>
                <c:pt idx="2">
                  <c:v>6.024096385542169</c:v>
                </c:pt>
                <c:pt idx="3">
                  <c:v>2.6315789473684208</c:v>
                </c:pt>
                <c:pt idx="4">
                  <c:v>5.8823529411764701</c:v>
                </c:pt>
                <c:pt idx="5">
                  <c:v>4.4444444444444446</c:v>
                </c:pt>
                <c:pt idx="6">
                  <c:v>7.6923076923076925</c:v>
                </c:pt>
                <c:pt idx="7">
                  <c:v>0</c:v>
                </c:pt>
                <c:pt idx="8">
                  <c:v>0</c:v>
                </c:pt>
                <c:pt idx="9">
                  <c:v>3.8461538461538463</c:v>
                </c:pt>
                <c:pt idx="10">
                  <c:v>0</c:v>
                </c:pt>
                <c:pt idx="11">
                  <c:v>0</c:v>
                </c:pt>
                <c:pt idx="12">
                  <c:v>33.333333333333329</c:v>
                </c:pt>
                <c:pt idx="13">
                  <c:v>4.2857142857142856</c:v>
                </c:pt>
              </c:numCache>
            </c:numRef>
          </c:val>
        </c:ser>
        <c:ser>
          <c:idx val="1"/>
          <c:order val="1"/>
          <c:tx>
            <c:strRef>
              <c:f>'Whole Country'!$AH$707</c:f>
              <c:strCache>
                <c:ptCount val="1"/>
                <c:pt idx="0">
                  <c:v>Between R5 000 and R10 000</c:v>
                </c:pt>
              </c:strCache>
            </c:strRef>
          </c:tx>
          <c:cat>
            <c:strRef>
              <c:f>'Whole Country'!$AI$705:$AV$705</c:f>
              <c:strCache>
                <c:ptCount val="14"/>
                <c:pt idx="0">
                  <c:v>National Average</c:v>
                </c:pt>
                <c:pt idx="1">
                  <c:v>Bloemfontein</c:v>
                </c:pt>
                <c:pt idx="2">
                  <c:v>Cape Town</c:v>
                </c:pt>
                <c:pt idx="3">
                  <c:v>Durban</c:v>
                </c:pt>
                <c:pt idx="4">
                  <c:v>Jhb - East</c:v>
                </c:pt>
                <c:pt idx="5">
                  <c:v>Jhb - Sandton</c:v>
                </c:pt>
                <c:pt idx="6">
                  <c:v>Jhb - South</c:v>
                </c:pt>
                <c:pt idx="7">
                  <c:v>Jhb - West</c:v>
                </c:pt>
                <c:pt idx="8">
                  <c:v>Nelspruit</c:v>
                </c:pt>
                <c:pt idx="9">
                  <c:v>PE/EL</c:v>
                </c:pt>
                <c:pt idx="10">
                  <c:v>Pietermaritzburg</c:v>
                </c:pt>
                <c:pt idx="11">
                  <c:v>Polokwane</c:v>
                </c:pt>
                <c:pt idx="12">
                  <c:v>Potchefstroom</c:v>
                </c:pt>
                <c:pt idx="13">
                  <c:v>Pretoria</c:v>
                </c:pt>
              </c:strCache>
            </c:strRef>
          </c:cat>
          <c:val>
            <c:numRef>
              <c:f>'Whole Country'!$AI$707:$AV$707</c:f>
              <c:numCache>
                <c:formatCode>0.0</c:formatCode>
                <c:ptCount val="14"/>
                <c:pt idx="0">
                  <c:v>34.986225895316799</c:v>
                </c:pt>
                <c:pt idx="1">
                  <c:v>50</c:v>
                </c:pt>
                <c:pt idx="2">
                  <c:v>43.373493975903614</c:v>
                </c:pt>
                <c:pt idx="3">
                  <c:v>47.368421052631575</c:v>
                </c:pt>
                <c:pt idx="4">
                  <c:v>35.294117647058826</c:v>
                </c:pt>
                <c:pt idx="5">
                  <c:v>8.8888888888888893</c:v>
                </c:pt>
                <c:pt idx="6">
                  <c:v>38.461538461538467</c:v>
                </c:pt>
                <c:pt idx="7">
                  <c:v>18.518518518518519</c:v>
                </c:pt>
                <c:pt idx="8">
                  <c:v>41.666666666666671</c:v>
                </c:pt>
                <c:pt idx="9">
                  <c:v>57.692307692307686</c:v>
                </c:pt>
                <c:pt idx="10">
                  <c:v>50</c:v>
                </c:pt>
                <c:pt idx="11">
                  <c:v>50</c:v>
                </c:pt>
                <c:pt idx="12">
                  <c:v>50</c:v>
                </c:pt>
                <c:pt idx="13">
                  <c:v>27.142857142857142</c:v>
                </c:pt>
              </c:numCache>
            </c:numRef>
          </c:val>
        </c:ser>
        <c:ser>
          <c:idx val="2"/>
          <c:order val="2"/>
          <c:tx>
            <c:strRef>
              <c:f>'Whole Country'!$AH$708</c:f>
              <c:strCache>
                <c:ptCount val="1"/>
                <c:pt idx="0">
                  <c:v>Between R10 000 and R20 000</c:v>
                </c:pt>
              </c:strCache>
            </c:strRef>
          </c:tx>
          <c:cat>
            <c:strRef>
              <c:f>'Whole Country'!$AI$705:$AV$705</c:f>
              <c:strCache>
                <c:ptCount val="14"/>
                <c:pt idx="0">
                  <c:v>National Average</c:v>
                </c:pt>
                <c:pt idx="1">
                  <c:v>Bloemfontein</c:v>
                </c:pt>
                <c:pt idx="2">
                  <c:v>Cape Town</c:v>
                </c:pt>
                <c:pt idx="3">
                  <c:v>Durban</c:v>
                </c:pt>
                <c:pt idx="4">
                  <c:v>Jhb - East</c:v>
                </c:pt>
                <c:pt idx="5">
                  <c:v>Jhb - Sandton</c:v>
                </c:pt>
                <c:pt idx="6">
                  <c:v>Jhb - South</c:v>
                </c:pt>
                <c:pt idx="7">
                  <c:v>Jhb - West</c:v>
                </c:pt>
                <c:pt idx="8">
                  <c:v>Nelspruit</c:v>
                </c:pt>
                <c:pt idx="9">
                  <c:v>PE/EL</c:v>
                </c:pt>
                <c:pt idx="10">
                  <c:v>Pietermaritzburg</c:v>
                </c:pt>
                <c:pt idx="11">
                  <c:v>Polokwane</c:v>
                </c:pt>
                <c:pt idx="12">
                  <c:v>Potchefstroom</c:v>
                </c:pt>
                <c:pt idx="13">
                  <c:v>Pretoria</c:v>
                </c:pt>
              </c:strCache>
            </c:strRef>
          </c:cat>
          <c:val>
            <c:numRef>
              <c:f>'Whole Country'!$AI$708:$AV$708</c:f>
              <c:numCache>
                <c:formatCode>0.0</c:formatCode>
                <c:ptCount val="14"/>
                <c:pt idx="0">
                  <c:v>50.413223140495866</c:v>
                </c:pt>
                <c:pt idx="1">
                  <c:v>40</c:v>
                </c:pt>
                <c:pt idx="2">
                  <c:v>48.80952380952381</c:v>
                </c:pt>
                <c:pt idx="3">
                  <c:v>47.368421052631575</c:v>
                </c:pt>
                <c:pt idx="4">
                  <c:v>35.294117647058826</c:v>
                </c:pt>
                <c:pt idx="5">
                  <c:v>46.666666666666664</c:v>
                </c:pt>
                <c:pt idx="6">
                  <c:v>53.846153846153847</c:v>
                </c:pt>
                <c:pt idx="7">
                  <c:v>66.666666666666657</c:v>
                </c:pt>
                <c:pt idx="8">
                  <c:v>58.333333333333336</c:v>
                </c:pt>
                <c:pt idx="9">
                  <c:v>38.461538461538467</c:v>
                </c:pt>
                <c:pt idx="10">
                  <c:v>50</c:v>
                </c:pt>
                <c:pt idx="11">
                  <c:v>50</c:v>
                </c:pt>
                <c:pt idx="12">
                  <c:v>8.3333333333333321</c:v>
                </c:pt>
                <c:pt idx="13">
                  <c:v>61.428571428571431</c:v>
                </c:pt>
              </c:numCache>
            </c:numRef>
          </c:val>
        </c:ser>
        <c:ser>
          <c:idx val="3"/>
          <c:order val="3"/>
          <c:tx>
            <c:strRef>
              <c:f>'Whole Country'!$AH$709</c:f>
              <c:strCache>
                <c:ptCount val="1"/>
                <c:pt idx="0">
                  <c:v>Above R20 000</c:v>
                </c:pt>
              </c:strCache>
            </c:strRef>
          </c:tx>
          <c:cat>
            <c:strRef>
              <c:f>'Whole Country'!$AI$705:$AV$705</c:f>
              <c:strCache>
                <c:ptCount val="14"/>
                <c:pt idx="0">
                  <c:v>National Average</c:v>
                </c:pt>
                <c:pt idx="1">
                  <c:v>Bloemfontein</c:v>
                </c:pt>
                <c:pt idx="2">
                  <c:v>Cape Town</c:v>
                </c:pt>
                <c:pt idx="3">
                  <c:v>Durban</c:v>
                </c:pt>
                <c:pt idx="4">
                  <c:v>Jhb - East</c:v>
                </c:pt>
                <c:pt idx="5">
                  <c:v>Jhb - Sandton</c:v>
                </c:pt>
                <c:pt idx="6">
                  <c:v>Jhb - South</c:v>
                </c:pt>
                <c:pt idx="7">
                  <c:v>Jhb - West</c:v>
                </c:pt>
                <c:pt idx="8">
                  <c:v>Nelspruit</c:v>
                </c:pt>
                <c:pt idx="9">
                  <c:v>PE/EL</c:v>
                </c:pt>
                <c:pt idx="10">
                  <c:v>Pietermaritzburg</c:v>
                </c:pt>
                <c:pt idx="11">
                  <c:v>Polokwane</c:v>
                </c:pt>
                <c:pt idx="12">
                  <c:v>Potchefstroom</c:v>
                </c:pt>
                <c:pt idx="13">
                  <c:v>Pretoria</c:v>
                </c:pt>
              </c:strCache>
            </c:strRef>
          </c:cat>
          <c:val>
            <c:numRef>
              <c:f>'Whole Country'!$AI$709:$AV$709</c:f>
              <c:numCache>
                <c:formatCode>0.0</c:formatCode>
                <c:ptCount val="14"/>
                <c:pt idx="0">
                  <c:v>9.48509485094851</c:v>
                </c:pt>
                <c:pt idx="1">
                  <c:v>0</c:v>
                </c:pt>
                <c:pt idx="2">
                  <c:v>2.3809523809523809</c:v>
                </c:pt>
                <c:pt idx="3">
                  <c:v>2.6315789473684208</c:v>
                </c:pt>
                <c:pt idx="4">
                  <c:v>23.52941176470588</c:v>
                </c:pt>
                <c:pt idx="5">
                  <c:v>40</c:v>
                </c:pt>
                <c:pt idx="6" formatCode="General">
                  <c:v>0</c:v>
                </c:pt>
                <c:pt idx="7">
                  <c:v>14.814814814814813</c:v>
                </c:pt>
                <c:pt idx="8">
                  <c:v>0</c:v>
                </c:pt>
                <c:pt idx="9">
                  <c:v>0</c:v>
                </c:pt>
                <c:pt idx="10">
                  <c:v>0</c:v>
                </c:pt>
                <c:pt idx="11">
                  <c:v>0</c:v>
                </c:pt>
                <c:pt idx="12">
                  <c:v>8.3333333333333321</c:v>
                </c:pt>
                <c:pt idx="13">
                  <c:v>7.1428571428571423</c:v>
                </c:pt>
              </c:numCache>
            </c:numRef>
          </c:val>
        </c:ser>
        <c:gapWidth val="100"/>
        <c:overlap val="100"/>
        <c:axId val="118969088"/>
        <c:axId val="118970624"/>
      </c:barChart>
      <c:catAx>
        <c:axId val="118969088"/>
        <c:scaling>
          <c:orientation val="minMax"/>
        </c:scaling>
        <c:axPos val="b"/>
        <c:majorTickMark val="none"/>
        <c:tickLblPos val="nextTo"/>
        <c:txPr>
          <a:bodyPr/>
          <a:lstStyle/>
          <a:p>
            <a:pPr>
              <a:defRPr sz="900"/>
            </a:pPr>
            <a:endParaRPr lang="en-US"/>
          </a:p>
        </c:txPr>
        <c:crossAx val="118970624"/>
        <c:crosses val="autoZero"/>
        <c:auto val="1"/>
        <c:lblAlgn val="ctr"/>
        <c:lblOffset val="100"/>
      </c:catAx>
      <c:valAx>
        <c:axId val="118970624"/>
        <c:scaling>
          <c:orientation val="minMax"/>
          <c:max val="100"/>
        </c:scaling>
        <c:axPos val="l"/>
        <c:majorGridlines/>
        <c:title>
          <c:tx>
            <c:rich>
              <a:bodyPr rot="-5400000" vert="horz"/>
              <a:lstStyle/>
              <a:p>
                <a:pPr>
                  <a:defRPr/>
                </a:pPr>
                <a:r>
                  <a:rPr lang="en-ZA"/>
                  <a:t>Percentage</a:t>
                </a:r>
              </a:p>
            </c:rich>
          </c:tx>
          <c:layout/>
        </c:title>
        <c:numFmt formatCode="General" sourceLinked="0"/>
        <c:majorTickMark val="none"/>
        <c:tickLblPos val="nextTo"/>
        <c:crossAx val="118969088"/>
        <c:crosses val="autoZero"/>
        <c:crossBetween val="between"/>
      </c:valAx>
    </c:plotArea>
    <c:legend>
      <c:legendPos val="b"/>
      <c:layout>
        <c:manualLayout>
          <c:xMode val="edge"/>
          <c:yMode val="edge"/>
          <c:x val="0"/>
          <c:y val="0.89959055118110232"/>
          <c:w val="0.98354182650245647"/>
          <c:h val="8.559463400408282E-2"/>
        </c:manualLayout>
      </c:layou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ZA"/>
  <c:style val="26"/>
  <c:chart>
    <c:title>
      <c:tx>
        <c:rich>
          <a:bodyPr/>
          <a:lstStyle/>
          <a:p>
            <a:pPr>
              <a:defRPr sz="1100"/>
            </a:pPr>
            <a:r>
              <a:rPr lang="en-US" sz="1100"/>
              <a:t>Average monthly salaries of junior secretaries</a:t>
            </a:r>
          </a:p>
        </c:rich>
      </c:tx>
      <c:layout/>
    </c:title>
    <c:plotArea>
      <c:layout>
        <c:manualLayout>
          <c:layoutTarget val="inner"/>
          <c:xMode val="edge"/>
          <c:yMode val="edge"/>
          <c:x val="0.11050094641784236"/>
          <c:y val="0.13015924975670176"/>
          <c:w val="0.74823803651050524"/>
          <c:h val="0.65676634521808375"/>
        </c:manualLayout>
      </c:layout>
      <c:barChart>
        <c:barDir val="col"/>
        <c:grouping val="stacked"/>
        <c:ser>
          <c:idx val="0"/>
          <c:order val="0"/>
          <c:tx>
            <c:strRef>
              <c:f>'Whole Country'!$AH$713</c:f>
              <c:strCache>
                <c:ptCount val="1"/>
                <c:pt idx="0">
                  <c:v>Below R5 000</c:v>
                </c:pt>
              </c:strCache>
            </c:strRef>
          </c:tx>
          <c:cat>
            <c:strRef>
              <c:f>'Whole Country'!$AI$712:$AV$712</c:f>
              <c:strCache>
                <c:ptCount val="14"/>
                <c:pt idx="0">
                  <c:v>National Average</c:v>
                </c:pt>
                <c:pt idx="1">
                  <c:v>Bloemfontein</c:v>
                </c:pt>
                <c:pt idx="2">
                  <c:v>Cape Town</c:v>
                </c:pt>
                <c:pt idx="3">
                  <c:v>Durban</c:v>
                </c:pt>
                <c:pt idx="4">
                  <c:v>Jhb - East</c:v>
                </c:pt>
                <c:pt idx="5">
                  <c:v>Jhb - Sandton</c:v>
                </c:pt>
                <c:pt idx="6">
                  <c:v>Jhb - South</c:v>
                </c:pt>
                <c:pt idx="7">
                  <c:v>Jhb - West</c:v>
                </c:pt>
                <c:pt idx="8">
                  <c:v>Nelspruit</c:v>
                </c:pt>
                <c:pt idx="9">
                  <c:v>PE/EL</c:v>
                </c:pt>
                <c:pt idx="10">
                  <c:v>Pietermaritzburg</c:v>
                </c:pt>
                <c:pt idx="11">
                  <c:v>Polokwane</c:v>
                </c:pt>
                <c:pt idx="12">
                  <c:v>Potchefstroom</c:v>
                </c:pt>
                <c:pt idx="13">
                  <c:v>Pretoria</c:v>
                </c:pt>
              </c:strCache>
            </c:strRef>
          </c:cat>
          <c:val>
            <c:numRef>
              <c:f>'Whole Country'!$AI$713:$AV$713</c:f>
              <c:numCache>
                <c:formatCode>0.0</c:formatCode>
                <c:ptCount val="14"/>
                <c:pt idx="0">
                  <c:v>23.52941176470588</c:v>
                </c:pt>
                <c:pt idx="1">
                  <c:v>0</c:v>
                </c:pt>
                <c:pt idx="2">
                  <c:v>25</c:v>
                </c:pt>
                <c:pt idx="3">
                  <c:v>50</c:v>
                </c:pt>
                <c:pt idx="4">
                  <c:v>25</c:v>
                </c:pt>
                <c:pt idx="5">
                  <c:v>7.6923076923076925</c:v>
                </c:pt>
                <c:pt idx="6">
                  <c:v>25</c:v>
                </c:pt>
                <c:pt idx="7">
                  <c:v>16.666666666666664</c:v>
                </c:pt>
                <c:pt idx="8">
                  <c:v>0</c:v>
                </c:pt>
                <c:pt idx="9">
                  <c:v>35</c:v>
                </c:pt>
                <c:pt idx="10">
                  <c:v>23.076923076923077</c:v>
                </c:pt>
                <c:pt idx="11">
                  <c:v>50</c:v>
                </c:pt>
                <c:pt idx="12">
                  <c:v>83.333333333333343</c:v>
                </c:pt>
                <c:pt idx="13">
                  <c:v>10.526315789473683</c:v>
                </c:pt>
              </c:numCache>
            </c:numRef>
          </c:val>
        </c:ser>
        <c:ser>
          <c:idx val="1"/>
          <c:order val="1"/>
          <c:tx>
            <c:strRef>
              <c:f>'Whole Country'!$AH$714</c:f>
              <c:strCache>
                <c:ptCount val="1"/>
                <c:pt idx="0">
                  <c:v>Between R5 000 and R10 000</c:v>
                </c:pt>
              </c:strCache>
            </c:strRef>
          </c:tx>
          <c:cat>
            <c:strRef>
              <c:f>'Whole Country'!$AI$712:$AV$712</c:f>
              <c:strCache>
                <c:ptCount val="14"/>
                <c:pt idx="0">
                  <c:v>National Average</c:v>
                </c:pt>
                <c:pt idx="1">
                  <c:v>Bloemfontein</c:v>
                </c:pt>
                <c:pt idx="2">
                  <c:v>Cape Town</c:v>
                </c:pt>
                <c:pt idx="3">
                  <c:v>Durban</c:v>
                </c:pt>
                <c:pt idx="4">
                  <c:v>Jhb - East</c:v>
                </c:pt>
                <c:pt idx="5">
                  <c:v>Jhb - Sandton</c:v>
                </c:pt>
                <c:pt idx="6">
                  <c:v>Jhb - South</c:v>
                </c:pt>
                <c:pt idx="7">
                  <c:v>Jhb - West</c:v>
                </c:pt>
                <c:pt idx="8">
                  <c:v>Nelspruit</c:v>
                </c:pt>
                <c:pt idx="9">
                  <c:v>PE/EL</c:v>
                </c:pt>
                <c:pt idx="10">
                  <c:v>Pietermaritzburg</c:v>
                </c:pt>
                <c:pt idx="11">
                  <c:v>Polokwane</c:v>
                </c:pt>
                <c:pt idx="12">
                  <c:v>Potchefstroom</c:v>
                </c:pt>
                <c:pt idx="13">
                  <c:v>Pretoria</c:v>
                </c:pt>
              </c:strCache>
            </c:strRef>
          </c:cat>
          <c:val>
            <c:numRef>
              <c:f>'Whole Country'!$AI$714:$AV$714</c:f>
              <c:numCache>
                <c:formatCode>0.0</c:formatCode>
                <c:ptCount val="14"/>
                <c:pt idx="0">
                  <c:v>66.968325791855193</c:v>
                </c:pt>
                <c:pt idx="1">
                  <c:v>100</c:v>
                </c:pt>
                <c:pt idx="2">
                  <c:v>72.916666666666657</c:v>
                </c:pt>
                <c:pt idx="3">
                  <c:v>45.454545454545453</c:v>
                </c:pt>
                <c:pt idx="4">
                  <c:v>50</c:v>
                </c:pt>
                <c:pt idx="5">
                  <c:v>50</c:v>
                </c:pt>
                <c:pt idx="6">
                  <c:v>75</c:v>
                </c:pt>
                <c:pt idx="7">
                  <c:v>72.222222222222214</c:v>
                </c:pt>
                <c:pt idx="8">
                  <c:v>100</c:v>
                </c:pt>
                <c:pt idx="9">
                  <c:v>65</c:v>
                </c:pt>
                <c:pt idx="10">
                  <c:v>76.923076923076934</c:v>
                </c:pt>
                <c:pt idx="11">
                  <c:v>50</c:v>
                </c:pt>
                <c:pt idx="12">
                  <c:v>16.666666666666664</c:v>
                </c:pt>
                <c:pt idx="13">
                  <c:v>78.94736842105263</c:v>
                </c:pt>
              </c:numCache>
            </c:numRef>
          </c:val>
        </c:ser>
        <c:ser>
          <c:idx val="2"/>
          <c:order val="2"/>
          <c:tx>
            <c:strRef>
              <c:f>'Whole Country'!$AH$715</c:f>
              <c:strCache>
                <c:ptCount val="1"/>
                <c:pt idx="0">
                  <c:v>Between R10 000 and R20 000</c:v>
                </c:pt>
              </c:strCache>
            </c:strRef>
          </c:tx>
          <c:cat>
            <c:strRef>
              <c:f>'Whole Country'!$AI$712:$AV$712</c:f>
              <c:strCache>
                <c:ptCount val="14"/>
                <c:pt idx="0">
                  <c:v>National Average</c:v>
                </c:pt>
                <c:pt idx="1">
                  <c:v>Bloemfontein</c:v>
                </c:pt>
                <c:pt idx="2">
                  <c:v>Cape Town</c:v>
                </c:pt>
                <c:pt idx="3">
                  <c:v>Durban</c:v>
                </c:pt>
                <c:pt idx="4">
                  <c:v>Jhb - East</c:v>
                </c:pt>
                <c:pt idx="5">
                  <c:v>Jhb - Sandton</c:v>
                </c:pt>
                <c:pt idx="6">
                  <c:v>Jhb - South</c:v>
                </c:pt>
                <c:pt idx="7">
                  <c:v>Jhb - West</c:v>
                </c:pt>
                <c:pt idx="8">
                  <c:v>Nelspruit</c:v>
                </c:pt>
                <c:pt idx="9">
                  <c:v>PE/EL</c:v>
                </c:pt>
                <c:pt idx="10">
                  <c:v>Pietermaritzburg</c:v>
                </c:pt>
                <c:pt idx="11">
                  <c:v>Polokwane</c:v>
                </c:pt>
                <c:pt idx="12">
                  <c:v>Potchefstroom</c:v>
                </c:pt>
                <c:pt idx="13">
                  <c:v>Pretoria</c:v>
                </c:pt>
              </c:strCache>
            </c:strRef>
          </c:cat>
          <c:val>
            <c:numRef>
              <c:f>'Whole Country'!$AI$715:$AV$715</c:f>
              <c:numCache>
                <c:formatCode>0.0</c:formatCode>
                <c:ptCount val="14"/>
                <c:pt idx="0">
                  <c:v>9.502262443438914</c:v>
                </c:pt>
                <c:pt idx="1">
                  <c:v>0</c:v>
                </c:pt>
                <c:pt idx="2">
                  <c:v>2.083333333333333</c:v>
                </c:pt>
                <c:pt idx="3">
                  <c:v>4.5454545454545459</c:v>
                </c:pt>
                <c:pt idx="4">
                  <c:v>25</c:v>
                </c:pt>
                <c:pt idx="5">
                  <c:v>42.307692307692307</c:v>
                </c:pt>
                <c:pt idx="6">
                  <c:v>0</c:v>
                </c:pt>
                <c:pt idx="7">
                  <c:v>11.111111111111111</c:v>
                </c:pt>
                <c:pt idx="8">
                  <c:v>0</c:v>
                </c:pt>
                <c:pt idx="9">
                  <c:v>0</c:v>
                </c:pt>
                <c:pt idx="10">
                  <c:v>0</c:v>
                </c:pt>
                <c:pt idx="11">
                  <c:v>0</c:v>
                </c:pt>
                <c:pt idx="12">
                  <c:v>0</c:v>
                </c:pt>
                <c:pt idx="13">
                  <c:v>10.526315789473683</c:v>
                </c:pt>
              </c:numCache>
            </c:numRef>
          </c:val>
        </c:ser>
        <c:ser>
          <c:idx val="3"/>
          <c:order val="3"/>
          <c:tx>
            <c:strRef>
              <c:f>'Whole Country'!$AH$716</c:f>
              <c:strCache>
                <c:ptCount val="1"/>
                <c:pt idx="0">
                  <c:v>Above R20 000</c:v>
                </c:pt>
              </c:strCache>
            </c:strRef>
          </c:tx>
          <c:cat>
            <c:strRef>
              <c:f>'Whole Country'!$AI$712:$AV$712</c:f>
              <c:strCache>
                <c:ptCount val="14"/>
                <c:pt idx="0">
                  <c:v>National Average</c:v>
                </c:pt>
                <c:pt idx="1">
                  <c:v>Bloemfontein</c:v>
                </c:pt>
                <c:pt idx="2">
                  <c:v>Cape Town</c:v>
                </c:pt>
                <c:pt idx="3">
                  <c:v>Durban</c:v>
                </c:pt>
                <c:pt idx="4">
                  <c:v>Jhb - East</c:v>
                </c:pt>
                <c:pt idx="5">
                  <c:v>Jhb - Sandton</c:v>
                </c:pt>
                <c:pt idx="6">
                  <c:v>Jhb - South</c:v>
                </c:pt>
                <c:pt idx="7">
                  <c:v>Jhb - West</c:v>
                </c:pt>
                <c:pt idx="8">
                  <c:v>Nelspruit</c:v>
                </c:pt>
                <c:pt idx="9">
                  <c:v>PE/EL</c:v>
                </c:pt>
                <c:pt idx="10">
                  <c:v>Pietermaritzburg</c:v>
                </c:pt>
                <c:pt idx="11">
                  <c:v>Polokwane</c:v>
                </c:pt>
                <c:pt idx="12">
                  <c:v>Potchefstroom</c:v>
                </c:pt>
                <c:pt idx="13">
                  <c:v>Pretoria</c:v>
                </c:pt>
              </c:strCache>
            </c:strRef>
          </c:cat>
          <c:val>
            <c:numRef>
              <c:f>'Whole Country'!$AI$716:$AV$716</c:f>
              <c:numCache>
                <c:formatCode>0.0</c:formatCode>
                <c:ptCount val="14"/>
                <c:pt idx="0">
                  <c:v>0</c:v>
                </c:pt>
                <c:pt idx="1">
                  <c:v>0</c:v>
                </c:pt>
                <c:pt idx="2">
                  <c:v>0</c:v>
                </c:pt>
                <c:pt idx="3">
                  <c:v>0</c:v>
                </c:pt>
                <c:pt idx="4">
                  <c:v>0</c:v>
                </c:pt>
                <c:pt idx="5">
                  <c:v>0</c:v>
                </c:pt>
                <c:pt idx="6" formatCode="General">
                  <c:v>0</c:v>
                </c:pt>
                <c:pt idx="7">
                  <c:v>0</c:v>
                </c:pt>
                <c:pt idx="8">
                  <c:v>0</c:v>
                </c:pt>
                <c:pt idx="9">
                  <c:v>0</c:v>
                </c:pt>
                <c:pt idx="10">
                  <c:v>0</c:v>
                </c:pt>
                <c:pt idx="11">
                  <c:v>0</c:v>
                </c:pt>
                <c:pt idx="12">
                  <c:v>0</c:v>
                </c:pt>
                <c:pt idx="13">
                  <c:v>0</c:v>
                </c:pt>
              </c:numCache>
            </c:numRef>
          </c:val>
        </c:ser>
        <c:ser>
          <c:idx val="4"/>
          <c:order val="4"/>
          <c:tx>
            <c:strRef>
              <c:f>'Whole Country'!$AH$717</c:f>
              <c:strCache>
                <c:ptCount val="1"/>
              </c:strCache>
            </c:strRef>
          </c:tx>
          <c:cat>
            <c:strRef>
              <c:f>'Whole Country'!$AI$712:$AV$712</c:f>
              <c:strCache>
                <c:ptCount val="14"/>
                <c:pt idx="0">
                  <c:v>National Average</c:v>
                </c:pt>
                <c:pt idx="1">
                  <c:v>Bloemfontein</c:v>
                </c:pt>
                <c:pt idx="2">
                  <c:v>Cape Town</c:v>
                </c:pt>
                <c:pt idx="3">
                  <c:v>Durban</c:v>
                </c:pt>
                <c:pt idx="4">
                  <c:v>Jhb - East</c:v>
                </c:pt>
                <c:pt idx="5">
                  <c:v>Jhb - Sandton</c:v>
                </c:pt>
                <c:pt idx="6">
                  <c:v>Jhb - South</c:v>
                </c:pt>
                <c:pt idx="7">
                  <c:v>Jhb - West</c:v>
                </c:pt>
                <c:pt idx="8">
                  <c:v>Nelspruit</c:v>
                </c:pt>
                <c:pt idx="9">
                  <c:v>PE/EL</c:v>
                </c:pt>
                <c:pt idx="10">
                  <c:v>Pietermaritzburg</c:v>
                </c:pt>
                <c:pt idx="11">
                  <c:v>Polokwane</c:v>
                </c:pt>
                <c:pt idx="12">
                  <c:v>Potchefstroom</c:v>
                </c:pt>
                <c:pt idx="13">
                  <c:v>Pretoria</c:v>
                </c:pt>
              </c:strCache>
            </c:strRef>
          </c:cat>
          <c:val>
            <c:numRef>
              <c:f>'Whole Country'!$AI$717:$AW$717</c:f>
              <c:numCache>
                <c:formatCode>General</c:formatCode>
                <c:ptCount val="15"/>
              </c:numCache>
            </c:numRef>
          </c:val>
        </c:ser>
        <c:overlap val="100"/>
        <c:axId val="118849920"/>
        <c:axId val="118851456"/>
      </c:barChart>
      <c:catAx>
        <c:axId val="118849920"/>
        <c:scaling>
          <c:orientation val="minMax"/>
        </c:scaling>
        <c:axPos val="b"/>
        <c:majorTickMark val="none"/>
        <c:tickLblPos val="nextTo"/>
        <c:crossAx val="118851456"/>
        <c:crosses val="autoZero"/>
        <c:auto val="1"/>
        <c:lblAlgn val="ctr"/>
        <c:lblOffset val="100"/>
      </c:catAx>
      <c:valAx>
        <c:axId val="118851456"/>
        <c:scaling>
          <c:orientation val="minMax"/>
          <c:max val="100"/>
        </c:scaling>
        <c:axPos val="l"/>
        <c:majorGridlines/>
        <c:title>
          <c:tx>
            <c:rich>
              <a:bodyPr rot="-5400000" vert="horz"/>
              <a:lstStyle/>
              <a:p>
                <a:pPr>
                  <a:defRPr/>
                </a:pPr>
                <a:r>
                  <a:rPr lang="en-ZA"/>
                  <a:t>Percentage</a:t>
                </a:r>
              </a:p>
            </c:rich>
          </c:tx>
          <c:layout/>
        </c:title>
        <c:numFmt formatCode="General" sourceLinked="0"/>
        <c:majorTickMark val="none"/>
        <c:tickLblPos val="nextTo"/>
        <c:crossAx val="118849920"/>
        <c:crosses val="autoZero"/>
        <c:crossBetween val="between"/>
      </c:valAx>
    </c:plotArea>
    <c:legend>
      <c:legendPos val="b"/>
      <c:legendEntry>
        <c:idx val="4"/>
        <c:delete val="1"/>
      </c:legendEntry>
      <c:layout>
        <c:manualLayout>
          <c:xMode val="edge"/>
          <c:yMode val="edge"/>
          <c:x val="0"/>
          <c:y val="0.90069395171757372"/>
          <c:w val="1"/>
          <c:h val="8.4654033630411588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ZA"/>
  <c:style val="32"/>
  <c:chart>
    <c:title>
      <c:tx>
        <c:rich>
          <a:bodyPr/>
          <a:lstStyle/>
          <a:p>
            <a:pPr>
              <a:defRPr sz="1100"/>
            </a:pPr>
            <a:r>
              <a:rPr lang="en-US" sz="1100"/>
              <a:t>Postage and Petties Recovery - Transfers</a:t>
            </a:r>
          </a:p>
        </c:rich>
      </c:tx>
      <c:layout/>
    </c:title>
    <c:plotArea>
      <c:layout/>
      <c:stockChart>
        <c:ser>
          <c:idx val="0"/>
          <c:order val="0"/>
          <c:tx>
            <c:strRef>
              <c:f>'Whole Country'!$L$734</c:f>
              <c:strCache>
                <c:ptCount val="1"/>
                <c:pt idx="0">
                  <c:v>Median</c:v>
                </c:pt>
              </c:strCache>
            </c:strRef>
          </c:tx>
          <c:spPr>
            <a:ln w="66675">
              <a:noFill/>
            </a:ln>
          </c:spPr>
          <c:marker>
            <c:symbol val="none"/>
          </c:marker>
          <c:cat>
            <c:strRef>
              <c:f>'Whole Country'!$K$735:$K$748</c:f>
              <c:strCache>
                <c:ptCount val="14"/>
                <c:pt idx="0">
                  <c:v>National Average</c:v>
                </c:pt>
                <c:pt idx="1">
                  <c:v>Bloemfontein</c:v>
                </c:pt>
                <c:pt idx="2">
                  <c:v>Cape Town</c:v>
                </c:pt>
                <c:pt idx="3">
                  <c:v>Durban</c:v>
                </c:pt>
                <c:pt idx="4">
                  <c:v>Jhb - East</c:v>
                </c:pt>
                <c:pt idx="5">
                  <c:v>Jhb - Sandton</c:v>
                </c:pt>
                <c:pt idx="6">
                  <c:v>Jhb - South</c:v>
                </c:pt>
                <c:pt idx="7">
                  <c:v>Jhb - West</c:v>
                </c:pt>
                <c:pt idx="8">
                  <c:v>Neslspruit</c:v>
                </c:pt>
                <c:pt idx="9">
                  <c:v>PE/EL</c:v>
                </c:pt>
                <c:pt idx="10">
                  <c:v>Pietermaritzburg</c:v>
                </c:pt>
                <c:pt idx="11">
                  <c:v>Polokwane</c:v>
                </c:pt>
                <c:pt idx="12">
                  <c:v>Potchefstroom</c:v>
                </c:pt>
                <c:pt idx="13">
                  <c:v>Pretoria</c:v>
                </c:pt>
              </c:strCache>
            </c:strRef>
          </c:cat>
          <c:val>
            <c:numRef>
              <c:f>'Whole Country'!$L$735:$L$748</c:f>
              <c:numCache>
                <c:formatCode>General</c:formatCode>
                <c:ptCount val="14"/>
                <c:pt idx="0">
                  <c:v>450</c:v>
                </c:pt>
                <c:pt idx="1">
                  <c:v>350</c:v>
                </c:pt>
                <c:pt idx="2">
                  <c:v>450</c:v>
                </c:pt>
                <c:pt idx="3">
                  <c:v>400</c:v>
                </c:pt>
                <c:pt idx="4">
                  <c:v>450</c:v>
                </c:pt>
                <c:pt idx="5">
                  <c:v>500</c:v>
                </c:pt>
                <c:pt idx="6">
                  <c:v>500</c:v>
                </c:pt>
                <c:pt idx="7">
                  <c:v>475</c:v>
                </c:pt>
                <c:pt idx="8">
                  <c:v>450</c:v>
                </c:pt>
                <c:pt idx="9">
                  <c:v>400</c:v>
                </c:pt>
                <c:pt idx="10">
                  <c:v>350</c:v>
                </c:pt>
                <c:pt idx="11">
                  <c:v>475</c:v>
                </c:pt>
                <c:pt idx="12">
                  <c:v>485</c:v>
                </c:pt>
                <c:pt idx="13">
                  <c:v>500</c:v>
                </c:pt>
              </c:numCache>
            </c:numRef>
          </c:val>
        </c:ser>
        <c:ser>
          <c:idx val="1"/>
          <c:order val="1"/>
          <c:tx>
            <c:strRef>
              <c:f>'Whole Country'!$M$734</c:f>
              <c:strCache>
                <c:ptCount val="1"/>
                <c:pt idx="0">
                  <c:v>High</c:v>
                </c:pt>
              </c:strCache>
            </c:strRef>
          </c:tx>
          <c:spPr>
            <a:ln w="66675">
              <a:noFill/>
            </a:ln>
          </c:spPr>
          <c:marker>
            <c:symbol val="none"/>
          </c:marker>
          <c:cat>
            <c:strRef>
              <c:f>'Whole Country'!$K$735:$K$748</c:f>
              <c:strCache>
                <c:ptCount val="14"/>
                <c:pt idx="0">
                  <c:v>National Average</c:v>
                </c:pt>
                <c:pt idx="1">
                  <c:v>Bloemfontein</c:v>
                </c:pt>
                <c:pt idx="2">
                  <c:v>Cape Town</c:v>
                </c:pt>
                <c:pt idx="3">
                  <c:v>Durban</c:v>
                </c:pt>
                <c:pt idx="4">
                  <c:v>Jhb - East</c:v>
                </c:pt>
                <c:pt idx="5">
                  <c:v>Jhb - Sandton</c:v>
                </c:pt>
                <c:pt idx="6">
                  <c:v>Jhb - South</c:v>
                </c:pt>
                <c:pt idx="7">
                  <c:v>Jhb - West</c:v>
                </c:pt>
                <c:pt idx="8">
                  <c:v>Neslspruit</c:v>
                </c:pt>
                <c:pt idx="9">
                  <c:v>PE/EL</c:v>
                </c:pt>
                <c:pt idx="10">
                  <c:v>Pietermaritzburg</c:v>
                </c:pt>
                <c:pt idx="11">
                  <c:v>Polokwane</c:v>
                </c:pt>
                <c:pt idx="12">
                  <c:v>Potchefstroom</c:v>
                </c:pt>
                <c:pt idx="13">
                  <c:v>Pretoria</c:v>
                </c:pt>
              </c:strCache>
            </c:strRef>
          </c:cat>
          <c:val>
            <c:numRef>
              <c:f>'Whole Country'!$M$735:$M$748</c:f>
              <c:numCache>
                <c:formatCode>General</c:formatCode>
                <c:ptCount val="14"/>
                <c:pt idx="0">
                  <c:v>1000</c:v>
                </c:pt>
                <c:pt idx="1">
                  <c:v>800</c:v>
                </c:pt>
                <c:pt idx="2">
                  <c:v>950</c:v>
                </c:pt>
                <c:pt idx="3">
                  <c:v>800</c:v>
                </c:pt>
                <c:pt idx="4">
                  <c:v>550</c:v>
                </c:pt>
                <c:pt idx="5">
                  <c:v>900</c:v>
                </c:pt>
                <c:pt idx="6">
                  <c:v>750</c:v>
                </c:pt>
                <c:pt idx="7">
                  <c:v>750</c:v>
                </c:pt>
                <c:pt idx="8">
                  <c:v>850</c:v>
                </c:pt>
                <c:pt idx="9">
                  <c:v>670</c:v>
                </c:pt>
                <c:pt idx="10">
                  <c:v>500</c:v>
                </c:pt>
                <c:pt idx="11">
                  <c:v>650</c:v>
                </c:pt>
                <c:pt idx="12">
                  <c:v>550</c:v>
                </c:pt>
                <c:pt idx="13">
                  <c:v>1000</c:v>
                </c:pt>
              </c:numCache>
            </c:numRef>
          </c:val>
        </c:ser>
        <c:ser>
          <c:idx val="2"/>
          <c:order val="2"/>
          <c:tx>
            <c:strRef>
              <c:f>'Whole Country'!$N$734</c:f>
              <c:strCache>
                <c:ptCount val="1"/>
                <c:pt idx="0">
                  <c:v>Lower 1/4</c:v>
                </c:pt>
              </c:strCache>
            </c:strRef>
          </c:tx>
          <c:spPr>
            <a:ln w="66675">
              <a:noFill/>
            </a:ln>
          </c:spPr>
          <c:marker>
            <c:symbol val="none"/>
          </c:marker>
          <c:cat>
            <c:strRef>
              <c:f>'Whole Country'!$K$735:$K$748</c:f>
              <c:strCache>
                <c:ptCount val="14"/>
                <c:pt idx="0">
                  <c:v>National Average</c:v>
                </c:pt>
                <c:pt idx="1">
                  <c:v>Bloemfontein</c:v>
                </c:pt>
                <c:pt idx="2">
                  <c:v>Cape Town</c:v>
                </c:pt>
                <c:pt idx="3">
                  <c:v>Durban</c:v>
                </c:pt>
                <c:pt idx="4">
                  <c:v>Jhb - East</c:v>
                </c:pt>
                <c:pt idx="5">
                  <c:v>Jhb - Sandton</c:v>
                </c:pt>
                <c:pt idx="6">
                  <c:v>Jhb - South</c:v>
                </c:pt>
                <c:pt idx="7">
                  <c:v>Jhb - West</c:v>
                </c:pt>
                <c:pt idx="8">
                  <c:v>Neslspruit</c:v>
                </c:pt>
                <c:pt idx="9">
                  <c:v>PE/EL</c:v>
                </c:pt>
                <c:pt idx="10">
                  <c:v>Pietermaritzburg</c:v>
                </c:pt>
                <c:pt idx="11">
                  <c:v>Polokwane</c:v>
                </c:pt>
                <c:pt idx="12">
                  <c:v>Potchefstroom</c:v>
                </c:pt>
                <c:pt idx="13">
                  <c:v>Pretoria</c:v>
                </c:pt>
              </c:strCache>
            </c:strRef>
          </c:cat>
          <c:val>
            <c:numRef>
              <c:f>'Whole Country'!$N$735:$N$748</c:f>
              <c:numCache>
                <c:formatCode>General</c:formatCode>
                <c:ptCount val="14"/>
                <c:pt idx="0">
                  <c:v>350</c:v>
                </c:pt>
                <c:pt idx="1">
                  <c:v>344</c:v>
                </c:pt>
                <c:pt idx="2">
                  <c:v>350</c:v>
                </c:pt>
                <c:pt idx="3">
                  <c:v>350</c:v>
                </c:pt>
                <c:pt idx="4">
                  <c:v>400</c:v>
                </c:pt>
                <c:pt idx="5">
                  <c:v>450</c:v>
                </c:pt>
                <c:pt idx="6">
                  <c:v>425</c:v>
                </c:pt>
                <c:pt idx="7">
                  <c:v>350</c:v>
                </c:pt>
                <c:pt idx="8">
                  <c:v>350</c:v>
                </c:pt>
                <c:pt idx="9">
                  <c:v>288</c:v>
                </c:pt>
                <c:pt idx="10">
                  <c:v>350</c:v>
                </c:pt>
                <c:pt idx="11">
                  <c:v>450</c:v>
                </c:pt>
                <c:pt idx="12">
                  <c:v>350</c:v>
                </c:pt>
                <c:pt idx="13">
                  <c:v>400</c:v>
                </c:pt>
              </c:numCache>
            </c:numRef>
          </c:val>
        </c:ser>
        <c:ser>
          <c:idx val="3"/>
          <c:order val="3"/>
          <c:tx>
            <c:strRef>
              <c:f>'Whole Country'!$O$734</c:f>
              <c:strCache>
                <c:ptCount val="1"/>
                <c:pt idx="0">
                  <c:v>Three quarter</c:v>
                </c:pt>
              </c:strCache>
            </c:strRef>
          </c:tx>
          <c:spPr>
            <a:ln w="66675">
              <a:noFill/>
            </a:ln>
          </c:spPr>
          <c:marker>
            <c:symbol val="none"/>
          </c:marker>
          <c:cat>
            <c:strRef>
              <c:f>'Whole Country'!$K$735:$K$748</c:f>
              <c:strCache>
                <c:ptCount val="14"/>
                <c:pt idx="0">
                  <c:v>National Average</c:v>
                </c:pt>
                <c:pt idx="1">
                  <c:v>Bloemfontein</c:v>
                </c:pt>
                <c:pt idx="2">
                  <c:v>Cape Town</c:v>
                </c:pt>
                <c:pt idx="3">
                  <c:v>Durban</c:v>
                </c:pt>
                <c:pt idx="4">
                  <c:v>Jhb - East</c:v>
                </c:pt>
                <c:pt idx="5">
                  <c:v>Jhb - Sandton</c:v>
                </c:pt>
                <c:pt idx="6">
                  <c:v>Jhb - South</c:v>
                </c:pt>
                <c:pt idx="7">
                  <c:v>Jhb - West</c:v>
                </c:pt>
                <c:pt idx="8">
                  <c:v>Neslspruit</c:v>
                </c:pt>
                <c:pt idx="9">
                  <c:v>PE/EL</c:v>
                </c:pt>
                <c:pt idx="10">
                  <c:v>Pietermaritzburg</c:v>
                </c:pt>
                <c:pt idx="11">
                  <c:v>Polokwane</c:v>
                </c:pt>
                <c:pt idx="12">
                  <c:v>Potchefstroom</c:v>
                </c:pt>
                <c:pt idx="13">
                  <c:v>Pretoria</c:v>
                </c:pt>
              </c:strCache>
            </c:strRef>
          </c:cat>
          <c:val>
            <c:numRef>
              <c:f>'Whole Country'!$O$735:$O$748</c:f>
              <c:numCache>
                <c:formatCode>General</c:formatCode>
                <c:ptCount val="14"/>
                <c:pt idx="0">
                  <c:v>500</c:v>
                </c:pt>
                <c:pt idx="1">
                  <c:v>500</c:v>
                </c:pt>
                <c:pt idx="2">
                  <c:v>500</c:v>
                </c:pt>
                <c:pt idx="3">
                  <c:v>500</c:v>
                </c:pt>
                <c:pt idx="4">
                  <c:v>495</c:v>
                </c:pt>
                <c:pt idx="5">
                  <c:v>550</c:v>
                </c:pt>
                <c:pt idx="6">
                  <c:v>525</c:v>
                </c:pt>
                <c:pt idx="7">
                  <c:v>550</c:v>
                </c:pt>
                <c:pt idx="8">
                  <c:v>500</c:v>
                </c:pt>
                <c:pt idx="9">
                  <c:v>470</c:v>
                </c:pt>
                <c:pt idx="10">
                  <c:v>400</c:v>
                </c:pt>
                <c:pt idx="11">
                  <c:v>575</c:v>
                </c:pt>
                <c:pt idx="12">
                  <c:v>500</c:v>
                </c:pt>
                <c:pt idx="13">
                  <c:v>638</c:v>
                </c:pt>
              </c:numCache>
            </c:numRef>
          </c:val>
        </c:ser>
        <c:hiLowLines>
          <c:spPr>
            <a:ln w="38100">
              <a:solidFill>
                <a:srgbClr val="FF0000"/>
              </a:solidFill>
            </a:ln>
          </c:spPr>
        </c:hiLowLines>
        <c:upDownBars>
          <c:gapWidth val="150"/>
          <c:upBars>
            <c:spPr>
              <a:gradFill>
                <a:gsLst>
                  <a:gs pos="0">
                    <a:srgbClr val="000082"/>
                  </a:gs>
                  <a:gs pos="0">
                    <a:srgbClr val="000082"/>
                  </a:gs>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0"/>
              </a:gradFill>
              <a:ln>
                <a:solidFill>
                  <a:srgbClr val="002060"/>
                </a:solidFill>
              </a:ln>
            </c:spPr>
          </c:upBars>
          <c:downBars/>
        </c:upDownBars>
        <c:axId val="45002112"/>
        <c:axId val="68909312"/>
      </c:stockChart>
      <c:catAx>
        <c:axId val="45002112"/>
        <c:scaling>
          <c:orientation val="minMax"/>
        </c:scaling>
        <c:axPos val="b"/>
        <c:majorTickMark val="none"/>
        <c:tickLblPos val="nextTo"/>
        <c:crossAx val="68909312"/>
        <c:crosses val="autoZero"/>
        <c:auto val="1"/>
        <c:lblAlgn val="ctr"/>
        <c:lblOffset val="100"/>
      </c:catAx>
      <c:valAx>
        <c:axId val="68909312"/>
        <c:scaling>
          <c:orientation val="minMax"/>
        </c:scaling>
        <c:axPos val="l"/>
        <c:majorGridlines/>
        <c:title>
          <c:tx>
            <c:rich>
              <a:bodyPr/>
              <a:lstStyle/>
              <a:p>
                <a:pPr>
                  <a:defRPr/>
                </a:pPr>
                <a:r>
                  <a:rPr lang="en-US"/>
                  <a:t>Amount R</a:t>
                </a:r>
              </a:p>
            </c:rich>
          </c:tx>
          <c:layout/>
        </c:title>
        <c:numFmt formatCode="#,##0.00" sourceLinked="0"/>
        <c:majorTickMark val="none"/>
        <c:tickLblPos val="nextTo"/>
        <c:crossAx val="45002112"/>
        <c:crosses val="autoZero"/>
        <c:crossBetween val="between"/>
      </c:valAx>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ZA"/>
  <c:style val="24"/>
  <c:chart>
    <c:title>
      <c:tx>
        <c:rich>
          <a:bodyPr/>
          <a:lstStyle/>
          <a:p>
            <a:pPr>
              <a:defRPr sz="1100"/>
            </a:pPr>
            <a:r>
              <a:rPr lang="en-US" sz="1100"/>
              <a:t>Matters lodged per secretary per month</a:t>
            </a:r>
          </a:p>
        </c:rich>
      </c:tx>
      <c:layout/>
    </c:title>
    <c:plotArea>
      <c:layout/>
      <c:stockChart>
        <c:ser>
          <c:idx val="0"/>
          <c:order val="0"/>
          <c:tx>
            <c:strRef>
              <c:f>'Whole Country'!$R$766</c:f>
              <c:strCache>
                <c:ptCount val="1"/>
                <c:pt idx="0">
                  <c:v>Low</c:v>
                </c:pt>
              </c:strCache>
            </c:strRef>
          </c:tx>
          <c:spPr>
            <a:ln w="47625">
              <a:noFill/>
            </a:ln>
          </c:spPr>
          <c:marker>
            <c:symbol val="none"/>
          </c:marker>
          <c:cat>
            <c:strRef>
              <c:f>'Whole Country'!$Q$767:$Q$780</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Country'!$R$767:$R$780</c:f>
              <c:numCache>
                <c:formatCode>General</c:formatCode>
                <c:ptCount val="14"/>
                <c:pt idx="0">
                  <c:v>1</c:v>
                </c:pt>
                <c:pt idx="1">
                  <c:v>1</c:v>
                </c:pt>
                <c:pt idx="2">
                  <c:v>1</c:v>
                </c:pt>
                <c:pt idx="3">
                  <c:v>1</c:v>
                </c:pt>
                <c:pt idx="4">
                  <c:v>3</c:v>
                </c:pt>
                <c:pt idx="5">
                  <c:v>2</c:v>
                </c:pt>
                <c:pt idx="6">
                  <c:v>3</c:v>
                </c:pt>
                <c:pt idx="7">
                  <c:v>1.5</c:v>
                </c:pt>
                <c:pt idx="8">
                  <c:v>2</c:v>
                </c:pt>
                <c:pt idx="9">
                  <c:v>2</c:v>
                </c:pt>
                <c:pt idx="10">
                  <c:v>1.6</c:v>
                </c:pt>
                <c:pt idx="11">
                  <c:v>12</c:v>
                </c:pt>
                <c:pt idx="12">
                  <c:v>1</c:v>
                </c:pt>
                <c:pt idx="13">
                  <c:v>3</c:v>
                </c:pt>
              </c:numCache>
            </c:numRef>
          </c:val>
        </c:ser>
        <c:ser>
          <c:idx val="1"/>
          <c:order val="1"/>
          <c:tx>
            <c:strRef>
              <c:f>'Whole Country'!$S$766</c:f>
              <c:strCache>
                <c:ptCount val="1"/>
                <c:pt idx="0">
                  <c:v>High</c:v>
                </c:pt>
              </c:strCache>
            </c:strRef>
          </c:tx>
          <c:spPr>
            <a:ln w="47625">
              <a:noFill/>
            </a:ln>
          </c:spPr>
          <c:marker>
            <c:symbol val="none"/>
          </c:marker>
          <c:cat>
            <c:strRef>
              <c:f>'Whole Country'!$Q$767:$Q$780</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Country'!$S$767:$S$780</c:f>
              <c:numCache>
                <c:formatCode>General</c:formatCode>
                <c:ptCount val="14"/>
                <c:pt idx="0">
                  <c:v>79</c:v>
                </c:pt>
                <c:pt idx="1">
                  <c:v>7.5</c:v>
                </c:pt>
                <c:pt idx="2">
                  <c:v>45</c:v>
                </c:pt>
                <c:pt idx="3">
                  <c:v>79</c:v>
                </c:pt>
                <c:pt idx="4">
                  <c:v>41</c:v>
                </c:pt>
                <c:pt idx="5">
                  <c:v>18</c:v>
                </c:pt>
                <c:pt idx="6">
                  <c:v>14</c:v>
                </c:pt>
                <c:pt idx="7">
                  <c:v>60</c:v>
                </c:pt>
                <c:pt idx="8">
                  <c:v>18</c:v>
                </c:pt>
                <c:pt idx="9">
                  <c:v>25</c:v>
                </c:pt>
                <c:pt idx="10">
                  <c:v>12.5</c:v>
                </c:pt>
                <c:pt idx="11">
                  <c:v>12</c:v>
                </c:pt>
                <c:pt idx="12">
                  <c:v>37.5</c:v>
                </c:pt>
                <c:pt idx="13">
                  <c:v>29</c:v>
                </c:pt>
              </c:numCache>
            </c:numRef>
          </c:val>
        </c:ser>
        <c:ser>
          <c:idx val="2"/>
          <c:order val="2"/>
          <c:tx>
            <c:strRef>
              <c:f>'Whole Country'!$T$766</c:f>
              <c:strCache>
                <c:ptCount val="1"/>
                <c:pt idx="0">
                  <c:v>Average</c:v>
                </c:pt>
              </c:strCache>
            </c:strRef>
          </c:tx>
          <c:spPr>
            <a:ln w="47625">
              <a:noFill/>
            </a:ln>
            <a:effectLst>
              <a:outerShdw blurRad="50800" dist="38100" dir="2700000" algn="tl" rotWithShape="0">
                <a:srgbClr val="002060">
                  <a:alpha val="40000"/>
                </a:srgbClr>
              </a:outerShdw>
            </a:effectLst>
          </c:spPr>
          <c:marker>
            <c:symbol val="dash"/>
            <c:size val="9"/>
            <c:spPr>
              <a:solidFill>
                <a:srgbClr val="002060"/>
              </a:solidFill>
              <a:ln>
                <a:solidFill>
                  <a:srgbClr val="002060"/>
                </a:solidFill>
              </a:ln>
              <a:effectLst>
                <a:outerShdw blurRad="50800" dist="38100" dir="2700000" algn="tl" rotWithShape="0">
                  <a:srgbClr val="002060">
                    <a:alpha val="40000"/>
                  </a:srgbClr>
                </a:outerShdw>
              </a:effectLst>
            </c:spPr>
          </c:marker>
          <c:cat>
            <c:strRef>
              <c:f>'Whole Country'!$Q$767:$Q$780</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Country'!$T$767:$T$780</c:f>
              <c:numCache>
                <c:formatCode>General</c:formatCode>
                <c:ptCount val="14"/>
                <c:pt idx="0">
                  <c:v>8</c:v>
                </c:pt>
                <c:pt idx="1">
                  <c:v>3.9</c:v>
                </c:pt>
                <c:pt idx="2">
                  <c:v>7.5</c:v>
                </c:pt>
                <c:pt idx="3">
                  <c:v>8.5</c:v>
                </c:pt>
                <c:pt idx="4">
                  <c:v>13</c:v>
                </c:pt>
                <c:pt idx="5">
                  <c:v>7</c:v>
                </c:pt>
                <c:pt idx="6">
                  <c:v>6.8</c:v>
                </c:pt>
                <c:pt idx="7">
                  <c:v>13.4</c:v>
                </c:pt>
                <c:pt idx="8">
                  <c:v>17</c:v>
                </c:pt>
                <c:pt idx="9">
                  <c:v>8</c:v>
                </c:pt>
                <c:pt idx="10">
                  <c:v>7</c:v>
                </c:pt>
                <c:pt idx="11">
                  <c:v>12</c:v>
                </c:pt>
                <c:pt idx="12">
                  <c:v>10.3</c:v>
                </c:pt>
                <c:pt idx="13">
                  <c:v>11</c:v>
                </c:pt>
              </c:numCache>
            </c:numRef>
          </c:val>
        </c:ser>
        <c:hiLowLines>
          <c:spPr>
            <a:ln w="34925">
              <a:solidFill>
                <a:srgbClr val="FF0000"/>
              </a:solidFill>
            </a:ln>
          </c:spPr>
        </c:hiLowLines>
        <c:axId val="119467392"/>
        <c:axId val="119473280"/>
      </c:stockChart>
      <c:catAx>
        <c:axId val="119467392"/>
        <c:scaling>
          <c:orientation val="minMax"/>
        </c:scaling>
        <c:axPos val="b"/>
        <c:majorTickMark val="none"/>
        <c:tickLblPos val="nextTo"/>
        <c:crossAx val="119473280"/>
        <c:crosses val="autoZero"/>
        <c:auto val="1"/>
        <c:lblAlgn val="ctr"/>
        <c:lblOffset val="100"/>
      </c:catAx>
      <c:valAx>
        <c:axId val="119473280"/>
        <c:scaling>
          <c:orientation val="minMax"/>
        </c:scaling>
        <c:axPos val="l"/>
        <c:majorGridlines/>
        <c:title>
          <c:tx>
            <c:rich>
              <a:bodyPr/>
              <a:lstStyle/>
              <a:p>
                <a:pPr>
                  <a:defRPr/>
                </a:pPr>
                <a:r>
                  <a:rPr lang="en-US"/>
                  <a:t>Amount R</a:t>
                </a:r>
              </a:p>
            </c:rich>
          </c:tx>
          <c:layout/>
        </c:title>
        <c:numFmt formatCode="#,##0.00" sourceLinked="0"/>
        <c:majorTickMark val="none"/>
        <c:tickLblPos val="nextTo"/>
        <c:crossAx val="119467392"/>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ZA"/>
  <c:style val="24"/>
  <c:chart>
    <c:title>
      <c:tx>
        <c:rich>
          <a:bodyPr/>
          <a:lstStyle/>
          <a:p>
            <a:pPr>
              <a:defRPr sz="1100"/>
            </a:pPr>
            <a:r>
              <a:rPr lang="en-US" sz="1100"/>
              <a:t>Active matters per secretary at once</a:t>
            </a:r>
          </a:p>
        </c:rich>
      </c:tx>
      <c:layout/>
    </c:title>
    <c:plotArea>
      <c:layout/>
      <c:stockChart>
        <c:ser>
          <c:idx val="0"/>
          <c:order val="0"/>
          <c:tx>
            <c:strRef>
              <c:f>'Whole Country'!$AM$726</c:f>
              <c:strCache>
                <c:ptCount val="1"/>
                <c:pt idx="0">
                  <c:v>Low</c:v>
                </c:pt>
              </c:strCache>
            </c:strRef>
          </c:tx>
          <c:spPr>
            <a:ln w="47625">
              <a:noFill/>
            </a:ln>
          </c:spPr>
          <c:marker>
            <c:symbol val="none"/>
          </c:marker>
          <c:cat>
            <c:strRef>
              <c:f>'Whole Country'!$AL$727:$AL$740</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Country'!$AM$727:$AM$740</c:f>
              <c:numCache>
                <c:formatCode>General</c:formatCode>
                <c:ptCount val="14"/>
                <c:pt idx="0">
                  <c:v>1</c:v>
                </c:pt>
                <c:pt idx="1">
                  <c:v>3</c:v>
                </c:pt>
                <c:pt idx="2">
                  <c:v>2</c:v>
                </c:pt>
                <c:pt idx="3">
                  <c:v>3</c:v>
                </c:pt>
                <c:pt idx="4">
                  <c:v>2</c:v>
                </c:pt>
                <c:pt idx="5">
                  <c:v>4</c:v>
                </c:pt>
                <c:pt idx="6">
                  <c:v>5</c:v>
                </c:pt>
                <c:pt idx="7">
                  <c:v>5</c:v>
                </c:pt>
                <c:pt idx="8">
                  <c:v>8</c:v>
                </c:pt>
                <c:pt idx="9">
                  <c:v>5</c:v>
                </c:pt>
                <c:pt idx="10">
                  <c:v>2</c:v>
                </c:pt>
                <c:pt idx="11">
                  <c:v>20</c:v>
                </c:pt>
                <c:pt idx="12">
                  <c:v>4</c:v>
                </c:pt>
                <c:pt idx="13">
                  <c:v>1</c:v>
                </c:pt>
              </c:numCache>
            </c:numRef>
          </c:val>
        </c:ser>
        <c:ser>
          <c:idx val="1"/>
          <c:order val="1"/>
          <c:tx>
            <c:strRef>
              <c:f>'Whole Country'!$AN$726</c:f>
              <c:strCache>
                <c:ptCount val="1"/>
                <c:pt idx="0">
                  <c:v>High</c:v>
                </c:pt>
              </c:strCache>
            </c:strRef>
          </c:tx>
          <c:spPr>
            <a:ln w="47625">
              <a:noFill/>
            </a:ln>
          </c:spPr>
          <c:marker>
            <c:symbol val="none"/>
          </c:marker>
          <c:cat>
            <c:strRef>
              <c:f>'Whole Country'!$AL$727:$AL$740</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Country'!$AN$727:$AN$740</c:f>
              <c:numCache>
                <c:formatCode>General</c:formatCode>
                <c:ptCount val="14"/>
                <c:pt idx="0">
                  <c:v>140</c:v>
                </c:pt>
                <c:pt idx="1">
                  <c:v>50</c:v>
                </c:pt>
                <c:pt idx="2">
                  <c:v>90</c:v>
                </c:pt>
                <c:pt idx="3">
                  <c:v>140</c:v>
                </c:pt>
                <c:pt idx="4">
                  <c:v>95</c:v>
                </c:pt>
                <c:pt idx="5">
                  <c:v>100</c:v>
                </c:pt>
                <c:pt idx="6">
                  <c:v>80</c:v>
                </c:pt>
                <c:pt idx="7">
                  <c:v>60</c:v>
                </c:pt>
                <c:pt idx="8">
                  <c:v>100</c:v>
                </c:pt>
                <c:pt idx="9">
                  <c:v>75</c:v>
                </c:pt>
                <c:pt idx="10">
                  <c:v>50</c:v>
                </c:pt>
                <c:pt idx="11">
                  <c:v>40</c:v>
                </c:pt>
                <c:pt idx="12">
                  <c:v>100</c:v>
                </c:pt>
                <c:pt idx="13">
                  <c:v>100</c:v>
                </c:pt>
              </c:numCache>
            </c:numRef>
          </c:val>
        </c:ser>
        <c:ser>
          <c:idx val="2"/>
          <c:order val="2"/>
          <c:tx>
            <c:strRef>
              <c:f>'Whole Country'!$AO$726</c:f>
              <c:strCache>
                <c:ptCount val="1"/>
                <c:pt idx="0">
                  <c:v>Average</c:v>
                </c:pt>
              </c:strCache>
            </c:strRef>
          </c:tx>
          <c:spPr>
            <a:ln w="47625">
              <a:noFill/>
            </a:ln>
            <a:effectLst>
              <a:outerShdw blurRad="50800" dist="38100" dir="2700000" algn="tl" rotWithShape="0">
                <a:srgbClr val="002060">
                  <a:alpha val="40000"/>
                </a:srgbClr>
              </a:outerShdw>
            </a:effectLst>
          </c:spPr>
          <c:marker>
            <c:symbol val="dash"/>
            <c:size val="9"/>
            <c:spPr>
              <a:solidFill>
                <a:srgbClr val="002060"/>
              </a:solidFill>
              <a:ln>
                <a:solidFill>
                  <a:srgbClr val="002060"/>
                </a:solidFill>
              </a:ln>
              <a:effectLst>
                <a:outerShdw blurRad="50800" dist="38100" dir="2700000" algn="tl" rotWithShape="0">
                  <a:srgbClr val="002060">
                    <a:alpha val="40000"/>
                  </a:srgbClr>
                </a:outerShdw>
              </a:effectLst>
            </c:spPr>
          </c:marker>
          <c:cat>
            <c:strRef>
              <c:f>'Whole Country'!$AL$727:$AL$740</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Country'!$AO$727:$AO$740</c:f>
              <c:numCache>
                <c:formatCode>General</c:formatCode>
                <c:ptCount val="14"/>
                <c:pt idx="0" formatCode="0.00">
                  <c:v>30.260188087774296</c:v>
                </c:pt>
                <c:pt idx="1">
                  <c:v>24</c:v>
                </c:pt>
                <c:pt idx="2">
                  <c:v>25.3</c:v>
                </c:pt>
                <c:pt idx="3">
                  <c:v>22.5</c:v>
                </c:pt>
                <c:pt idx="4">
                  <c:v>33.5</c:v>
                </c:pt>
                <c:pt idx="5">
                  <c:v>30</c:v>
                </c:pt>
                <c:pt idx="6">
                  <c:v>32</c:v>
                </c:pt>
                <c:pt idx="7">
                  <c:v>28.4</c:v>
                </c:pt>
                <c:pt idx="8">
                  <c:v>43</c:v>
                </c:pt>
                <c:pt idx="9">
                  <c:v>31</c:v>
                </c:pt>
                <c:pt idx="10">
                  <c:v>20.75</c:v>
                </c:pt>
                <c:pt idx="11">
                  <c:v>30</c:v>
                </c:pt>
                <c:pt idx="12">
                  <c:v>41</c:v>
                </c:pt>
                <c:pt idx="13">
                  <c:v>33</c:v>
                </c:pt>
              </c:numCache>
            </c:numRef>
          </c:val>
        </c:ser>
        <c:hiLowLines>
          <c:spPr>
            <a:ln w="34925">
              <a:solidFill>
                <a:srgbClr val="FF0000"/>
              </a:solidFill>
            </a:ln>
          </c:spPr>
        </c:hiLowLines>
        <c:axId val="119499392"/>
        <c:axId val="119521664"/>
      </c:stockChart>
      <c:catAx>
        <c:axId val="119499392"/>
        <c:scaling>
          <c:orientation val="minMax"/>
        </c:scaling>
        <c:axPos val="b"/>
        <c:majorTickMark val="none"/>
        <c:tickLblPos val="nextTo"/>
        <c:crossAx val="119521664"/>
        <c:crosses val="autoZero"/>
        <c:auto val="1"/>
        <c:lblAlgn val="ctr"/>
        <c:lblOffset val="100"/>
      </c:catAx>
      <c:valAx>
        <c:axId val="119521664"/>
        <c:scaling>
          <c:orientation val="minMax"/>
        </c:scaling>
        <c:axPos val="l"/>
        <c:majorGridlines/>
        <c:title>
          <c:tx>
            <c:rich>
              <a:bodyPr/>
              <a:lstStyle/>
              <a:p>
                <a:pPr>
                  <a:defRPr/>
                </a:pPr>
                <a:r>
                  <a:rPr lang="en-US"/>
                  <a:t>Amount R</a:t>
                </a:r>
              </a:p>
            </c:rich>
          </c:tx>
          <c:layout/>
        </c:title>
        <c:numFmt formatCode="#,##0.00" sourceLinked="0"/>
        <c:majorTickMark val="none"/>
        <c:tickLblPos val="nextTo"/>
        <c:crossAx val="11949939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ZA"/>
  <c:style val="32"/>
  <c:chart>
    <c:title>
      <c:tx>
        <c:rich>
          <a:bodyPr/>
          <a:lstStyle/>
          <a:p>
            <a:pPr>
              <a:defRPr sz="1100"/>
            </a:pPr>
            <a:r>
              <a:rPr lang="en-US" sz="1100"/>
              <a:t>Postage and Petties Recovery - Bonds</a:t>
            </a:r>
          </a:p>
        </c:rich>
      </c:tx>
      <c:layout/>
    </c:title>
    <c:plotArea>
      <c:layout/>
      <c:stockChart>
        <c:ser>
          <c:idx val="0"/>
          <c:order val="0"/>
          <c:tx>
            <c:strRef>
              <c:f>'Whole Country'!$L$750</c:f>
              <c:strCache>
                <c:ptCount val="1"/>
                <c:pt idx="0">
                  <c:v>Median</c:v>
                </c:pt>
              </c:strCache>
            </c:strRef>
          </c:tx>
          <c:spPr>
            <a:ln w="66675">
              <a:noFill/>
            </a:ln>
          </c:spPr>
          <c:marker>
            <c:symbol val="none"/>
          </c:marker>
          <c:cat>
            <c:strRef>
              <c:f>'Whole Country'!$K$751:$K$764</c:f>
              <c:strCache>
                <c:ptCount val="14"/>
                <c:pt idx="0">
                  <c:v>National Average</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Country'!$L$751:$L$764</c:f>
              <c:numCache>
                <c:formatCode>General</c:formatCode>
                <c:ptCount val="14"/>
                <c:pt idx="0">
                  <c:v>400</c:v>
                </c:pt>
                <c:pt idx="1">
                  <c:v>350</c:v>
                </c:pt>
                <c:pt idx="2">
                  <c:v>400</c:v>
                </c:pt>
                <c:pt idx="3">
                  <c:v>350</c:v>
                </c:pt>
                <c:pt idx="4">
                  <c:v>450</c:v>
                </c:pt>
                <c:pt idx="5">
                  <c:v>457</c:v>
                </c:pt>
                <c:pt idx="6">
                  <c:v>450</c:v>
                </c:pt>
                <c:pt idx="7">
                  <c:v>450</c:v>
                </c:pt>
                <c:pt idx="8">
                  <c:v>450</c:v>
                </c:pt>
                <c:pt idx="9">
                  <c:v>382</c:v>
                </c:pt>
                <c:pt idx="10">
                  <c:v>325</c:v>
                </c:pt>
                <c:pt idx="11">
                  <c:v>500</c:v>
                </c:pt>
                <c:pt idx="12">
                  <c:v>492</c:v>
                </c:pt>
                <c:pt idx="13">
                  <c:v>500</c:v>
                </c:pt>
              </c:numCache>
            </c:numRef>
          </c:val>
        </c:ser>
        <c:ser>
          <c:idx val="1"/>
          <c:order val="1"/>
          <c:tx>
            <c:strRef>
              <c:f>'Whole Country'!$M$750</c:f>
              <c:strCache>
                <c:ptCount val="1"/>
                <c:pt idx="0">
                  <c:v>High</c:v>
                </c:pt>
              </c:strCache>
            </c:strRef>
          </c:tx>
          <c:spPr>
            <a:ln w="66675">
              <a:noFill/>
            </a:ln>
          </c:spPr>
          <c:marker>
            <c:symbol val="none"/>
          </c:marker>
          <c:cat>
            <c:strRef>
              <c:f>'Whole Country'!$K$751:$K$764</c:f>
              <c:strCache>
                <c:ptCount val="14"/>
                <c:pt idx="0">
                  <c:v>National Average</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Country'!$M$751:$M$764</c:f>
              <c:numCache>
                <c:formatCode>General</c:formatCode>
                <c:ptCount val="14"/>
                <c:pt idx="0">
                  <c:v>1000</c:v>
                </c:pt>
                <c:pt idx="1">
                  <c:v>800</c:v>
                </c:pt>
                <c:pt idx="2">
                  <c:v>950</c:v>
                </c:pt>
                <c:pt idx="3">
                  <c:v>650</c:v>
                </c:pt>
                <c:pt idx="4">
                  <c:v>500</c:v>
                </c:pt>
                <c:pt idx="5">
                  <c:v>750</c:v>
                </c:pt>
                <c:pt idx="6">
                  <c:v>750</c:v>
                </c:pt>
                <c:pt idx="7">
                  <c:v>750</c:v>
                </c:pt>
                <c:pt idx="8">
                  <c:v>850</c:v>
                </c:pt>
                <c:pt idx="9">
                  <c:v>570</c:v>
                </c:pt>
                <c:pt idx="10">
                  <c:v>500</c:v>
                </c:pt>
                <c:pt idx="11">
                  <c:v>650</c:v>
                </c:pt>
                <c:pt idx="12">
                  <c:v>550</c:v>
                </c:pt>
                <c:pt idx="13">
                  <c:v>1000</c:v>
                </c:pt>
              </c:numCache>
            </c:numRef>
          </c:val>
        </c:ser>
        <c:ser>
          <c:idx val="2"/>
          <c:order val="2"/>
          <c:tx>
            <c:strRef>
              <c:f>'Whole Country'!$N$750</c:f>
              <c:strCache>
                <c:ptCount val="1"/>
                <c:pt idx="0">
                  <c:v>Lower 1/4</c:v>
                </c:pt>
              </c:strCache>
            </c:strRef>
          </c:tx>
          <c:spPr>
            <a:ln w="66675">
              <a:noFill/>
            </a:ln>
          </c:spPr>
          <c:marker>
            <c:symbol val="none"/>
          </c:marker>
          <c:cat>
            <c:strRef>
              <c:f>'Whole Country'!$K$751:$K$764</c:f>
              <c:strCache>
                <c:ptCount val="14"/>
                <c:pt idx="0">
                  <c:v>National Average</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Country'!$N$751:$N$764</c:f>
              <c:numCache>
                <c:formatCode>General</c:formatCode>
                <c:ptCount val="14"/>
                <c:pt idx="0">
                  <c:v>350</c:v>
                </c:pt>
                <c:pt idx="1">
                  <c:v>300</c:v>
                </c:pt>
                <c:pt idx="2">
                  <c:v>350</c:v>
                </c:pt>
                <c:pt idx="3">
                  <c:v>292</c:v>
                </c:pt>
                <c:pt idx="4">
                  <c:v>353</c:v>
                </c:pt>
                <c:pt idx="5">
                  <c:v>381</c:v>
                </c:pt>
                <c:pt idx="6">
                  <c:v>400</c:v>
                </c:pt>
                <c:pt idx="7">
                  <c:v>350</c:v>
                </c:pt>
                <c:pt idx="8">
                  <c:v>350</c:v>
                </c:pt>
                <c:pt idx="9">
                  <c:v>288</c:v>
                </c:pt>
                <c:pt idx="10">
                  <c:v>281</c:v>
                </c:pt>
                <c:pt idx="11">
                  <c:v>387</c:v>
                </c:pt>
                <c:pt idx="12">
                  <c:v>362</c:v>
                </c:pt>
                <c:pt idx="13">
                  <c:v>350</c:v>
                </c:pt>
              </c:numCache>
            </c:numRef>
          </c:val>
        </c:ser>
        <c:ser>
          <c:idx val="3"/>
          <c:order val="3"/>
          <c:tx>
            <c:strRef>
              <c:f>'Whole Country'!$O$750</c:f>
              <c:strCache>
                <c:ptCount val="1"/>
                <c:pt idx="0">
                  <c:v>Three quarter</c:v>
                </c:pt>
              </c:strCache>
            </c:strRef>
          </c:tx>
          <c:spPr>
            <a:ln w="66675">
              <a:noFill/>
            </a:ln>
          </c:spPr>
          <c:marker>
            <c:symbol val="none"/>
          </c:marker>
          <c:cat>
            <c:strRef>
              <c:f>'Whole Country'!$K$751:$K$764</c:f>
              <c:strCache>
                <c:ptCount val="14"/>
                <c:pt idx="0">
                  <c:v>National Average</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Country'!$O$751:$O$764</c:f>
              <c:numCache>
                <c:formatCode>General</c:formatCode>
                <c:ptCount val="14"/>
                <c:pt idx="0">
                  <c:v>500</c:v>
                </c:pt>
                <c:pt idx="1">
                  <c:v>500</c:v>
                </c:pt>
                <c:pt idx="2">
                  <c:v>450</c:v>
                </c:pt>
                <c:pt idx="3">
                  <c:v>460</c:v>
                </c:pt>
                <c:pt idx="4">
                  <c:v>487</c:v>
                </c:pt>
                <c:pt idx="5">
                  <c:v>500</c:v>
                </c:pt>
                <c:pt idx="6">
                  <c:v>500</c:v>
                </c:pt>
                <c:pt idx="7">
                  <c:v>585</c:v>
                </c:pt>
                <c:pt idx="8">
                  <c:v>500</c:v>
                </c:pt>
                <c:pt idx="9">
                  <c:v>450</c:v>
                </c:pt>
                <c:pt idx="10">
                  <c:v>371</c:v>
                </c:pt>
                <c:pt idx="11">
                  <c:v>575</c:v>
                </c:pt>
                <c:pt idx="12">
                  <c:v>500</c:v>
                </c:pt>
                <c:pt idx="13">
                  <c:v>600</c:v>
                </c:pt>
              </c:numCache>
            </c:numRef>
          </c:val>
        </c:ser>
        <c:hiLowLines>
          <c:spPr>
            <a:ln w="38100">
              <a:solidFill>
                <a:srgbClr val="FF0000"/>
              </a:solidFill>
            </a:ln>
          </c:spPr>
        </c:hiLowLines>
        <c:upDownBars>
          <c:gapWidth val="150"/>
          <c:upBars>
            <c:spPr>
              <a:gradFill>
                <a:gsLst>
                  <a:gs pos="0">
                    <a:srgbClr val="000082"/>
                  </a:gs>
                  <a:gs pos="0">
                    <a:srgbClr val="000082"/>
                  </a:gs>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0"/>
              </a:gradFill>
              <a:ln>
                <a:solidFill>
                  <a:srgbClr val="002060"/>
                </a:solidFill>
              </a:ln>
            </c:spPr>
          </c:upBars>
          <c:downBars/>
        </c:upDownBars>
        <c:axId val="118728192"/>
        <c:axId val="119644160"/>
      </c:stockChart>
      <c:catAx>
        <c:axId val="118728192"/>
        <c:scaling>
          <c:orientation val="minMax"/>
        </c:scaling>
        <c:axPos val="b"/>
        <c:majorTickMark val="none"/>
        <c:tickLblPos val="nextTo"/>
        <c:crossAx val="119644160"/>
        <c:crosses val="autoZero"/>
        <c:auto val="1"/>
        <c:lblAlgn val="ctr"/>
        <c:lblOffset val="100"/>
      </c:catAx>
      <c:valAx>
        <c:axId val="119644160"/>
        <c:scaling>
          <c:orientation val="minMax"/>
        </c:scaling>
        <c:axPos val="l"/>
        <c:majorGridlines/>
        <c:title>
          <c:tx>
            <c:rich>
              <a:bodyPr/>
              <a:lstStyle/>
              <a:p>
                <a:pPr>
                  <a:defRPr/>
                </a:pPr>
                <a:r>
                  <a:rPr lang="en-US"/>
                  <a:t>Amount R</a:t>
                </a:r>
              </a:p>
            </c:rich>
          </c:tx>
          <c:layout/>
        </c:title>
        <c:numFmt formatCode="#,##0.00" sourceLinked="0"/>
        <c:majorTickMark val="none"/>
        <c:tickLblPos val="nextTo"/>
        <c:crossAx val="11872819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ZA"/>
  <c:style val="32"/>
  <c:chart>
    <c:title>
      <c:tx>
        <c:rich>
          <a:bodyPr/>
          <a:lstStyle/>
          <a:p>
            <a:pPr>
              <a:defRPr sz="1100"/>
            </a:pPr>
            <a:r>
              <a:rPr lang="en-US" sz="1100"/>
              <a:t>Postage and Petties Recovery - Cancellations</a:t>
            </a:r>
          </a:p>
        </c:rich>
      </c:tx>
      <c:layout/>
    </c:title>
    <c:plotArea>
      <c:layout/>
      <c:stockChart>
        <c:ser>
          <c:idx val="0"/>
          <c:order val="0"/>
          <c:tx>
            <c:strRef>
              <c:f>'Whole Country'!$L$766</c:f>
              <c:strCache>
                <c:ptCount val="1"/>
                <c:pt idx="0">
                  <c:v>Median</c:v>
                </c:pt>
              </c:strCache>
            </c:strRef>
          </c:tx>
          <c:spPr>
            <a:ln w="66675">
              <a:noFill/>
            </a:ln>
          </c:spPr>
          <c:marker>
            <c:symbol val="none"/>
          </c:marker>
          <c:cat>
            <c:strRef>
              <c:f>'Whole Country'!$K$767:$K$780</c:f>
              <c:strCache>
                <c:ptCount val="14"/>
                <c:pt idx="0">
                  <c:v>National Average</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Country'!$L$767:$L$780</c:f>
              <c:numCache>
                <c:formatCode>General</c:formatCode>
                <c:ptCount val="14"/>
                <c:pt idx="0">
                  <c:v>200</c:v>
                </c:pt>
                <c:pt idx="1">
                  <c:v>180</c:v>
                </c:pt>
                <c:pt idx="2">
                  <c:v>400</c:v>
                </c:pt>
                <c:pt idx="3">
                  <c:v>200</c:v>
                </c:pt>
                <c:pt idx="4">
                  <c:v>200</c:v>
                </c:pt>
                <c:pt idx="5">
                  <c:v>200</c:v>
                </c:pt>
                <c:pt idx="6">
                  <c:v>267</c:v>
                </c:pt>
                <c:pt idx="7">
                  <c:v>200</c:v>
                </c:pt>
                <c:pt idx="8">
                  <c:v>220</c:v>
                </c:pt>
                <c:pt idx="9">
                  <c:v>200</c:v>
                </c:pt>
                <c:pt idx="10">
                  <c:v>125</c:v>
                </c:pt>
                <c:pt idx="11">
                  <c:v>325</c:v>
                </c:pt>
                <c:pt idx="12">
                  <c:v>200</c:v>
                </c:pt>
                <c:pt idx="13">
                  <c:v>250</c:v>
                </c:pt>
              </c:numCache>
            </c:numRef>
          </c:val>
        </c:ser>
        <c:ser>
          <c:idx val="1"/>
          <c:order val="1"/>
          <c:tx>
            <c:strRef>
              <c:f>'Whole Country'!$M$766</c:f>
              <c:strCache>
                <c:ptCount val="1"/>
                <c:pt idx="0">
                  <c:v>High</c:v>
                </c:pt>
              </c:strCache>
            </c:strRef>
          </c:tx>
          <c:spPr>
            <a:ln w="66675">
              <a:noFill/>
            </a:ln>
          </c:spPr>
          <c:marker>
            <c:symbol val="none"/>
          </c:marker>
          <c:cat>
            <c:strRef>
              <c:f>'Whole Country'!$K$767:$K$780</c:f>
              <c:strCache>
                <c:ptCount val="14"/>
                <c:pt idx="0">
                  <c:v>National Average</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Country'!$M$767:$M$780</c:f>
              <c:numCache>
                <c:formatCode>General</c:formatCode>
                <c:ptCount val="14"/>
                <c:pt idx="0">
                  <c:v>925</c:v>
                </c:pt>
                <c:pt idx="1">
                  <c:v>800</c:v>
                </c:pt>
                <c:pt idx="2">
                  <c:v>950</c:v>
                </c:pt>
                <c:pt idx="3">
                  <c:v>500</c:v>
                </c:pt>
                <c:pt idx="4">
                  <c:v>450</c:v>
                </c:pt>
                <c:pt idx="5">
                  <c:v>925</c:v>
                </c:pt>
                <c:pt idx="6">
                  <c:v>750</c:v>
                </c:pt>
                <c:pt idx="7">
                  <c:v>750</c:v>
                </c:pt>
                <c:pt idx="8">
                  <c:v>350</c:v>
                </c:pt>
                <c:pt idx="9">
                  <c:v>500</c:v>
                </c:pt>
                <c:pt idx="10">
                  <c:v>350</c:v>
                </c:pt>
                <c:pt idx="11">
                  <c:v>650</c:v>
                </c:pt>
                <c:pt idx="12">
                  <c:v>350</c:v>
                </c:pt>
                <c:pt idx="13">
                  <c:v>550</c:v>
                </c:pt>
              </c:numCache>
            </c:numRef>
          </c:val>
        </c:ser>
        <c:ser>
          <c:idx val="2"/>
          <c:order val="2"/>
          <c:tx>
            <c:strRef>
              <c:f>'Whole Country'!$N$766</c:f>
              <c:strCache>
                <c:ptCount val="1"/>
                <c:pt idx="0">
                  <c:v>Lower 1/4</c:v>
                </c:pt>
              </c:strCache>
            </c:strRef>
          </c:tx>
          <c:spPr>
            <a:ln w="66675">
              <a:noFill/>
            </a:ln>
          </c:spPr>
          <c:marker>
            <c:symbol val="none"/>
          </c:marker>
          <c:cat>
            <c:strRef>
              <c:f>'Whole Country'!$K$767:$K$780</c:f>
              <c:strCache>
                <c:ptCount val="14"/>
                <c:pt idx="0">
                  <c:v>National Average</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Country'!$N$767:$N$780</c:f>
              <c:numCache>
                <c:formatCode>General</c:formatCode>
                <c:ptCount val="14"/>
                <c:pt idx="0">
                  <c:v>125</c:v>
                </c:pt>
                <c:pt idx="1">
                  <c:v>150</c:v>
                </c:pt>
                <c:pt idx="2">
                  <c:v>350</c:v>
                </c:pt>
                <c:pt idx="3">
                  <c:v>150</c:v>
                </c:pt>
                <c:pt idx="4">
                  <c:v>110</c:v>
                </c:pt>
                <c:pt idx="5">
                  <c:v>120</c:v>
                </c:pt>
                <c:pt idx="6">
                  <c:v>142</c:v>
                </c:pt>
                <c:pt idx="7">
                  <c:v>125</c:v>
                </c:pt>
                <c:pt idx="8">
                  <c:v>150</c:v>
                </c:pt>
                <c:pt idx="9">
                  <c:v>146</c:v>
                </c:pt>
                <c:pt idx="10">
                  <c:v>100</c:v>
                </c:pt>
                <c:pt idx="11">
                  <c:v>300</c:v>
                </c:pt>
                <c:pt idx="12">
                  <c:v>150</c:v>
                </c:pt>
                <c:pt idx="13">
                  <c:v>123</c:v>
                </c:pt>
              </c:numCache>
            </c:numRef>
          </c:val>
        </c:ser>
        <c:ser>
          <c:idx val="3"/>
          <c:order val="3"/>
          <c:tx>
            <c:strRef>
              <c:f>'Whole Country'!$O$766</c:f>
              <c:strCache>
                <c:ptCount val="1"/>
                <c:pt idx="0">
                  <c:v>Three quarter</c:v>
                </c:pt>
              </c:strCache>
            </c:strRef>
          </c:tx>
          <c:spPr>
            <a:ln w="66675">
              <a:noFill/>
            </a:ln>
          </c:spPr>
          <c:marker>
            <c:symbol val="none"/>
          </c:marker>
          <c:cat>
            <c:strRef>
              <c:f>'Whole Country'!$K$767:$K$780</c:f>
              <c:strCache>
                <c:ptCount val="14"/>
                <c:pt idx="0">
                  <c:v>National Average</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Country'!$O$767:$O$780</c:f>
              <c:numCache>
                <c:formatCode>General</c:formatCode>
                <c:ptCount val="14"/>
                <c:pt idx="0">
                  <c:v>285</c:v>
                </c:pt>
                <c:pt idx="1">
                  <c:v>350</c:v>
                </c:pt>
                <c:pt idx="2">
                  <c:v>450</c:v>
                </c:pt>
                <c:pt idx="3">
                  <c:v>250</c:v>
                </c:pt>
                <c:pt idx="4">
                  <c:v>300</c:v>
                </c:pt>
                <c:pt idx="5">
                  <c:v>300</c:v>
                </c:pt>
                <c:pt idx="6">
                  <c:v>350</c:v>
                </c:pt>
                <c:pt idx="7">
                  <c:v>250</c:v>
                </c:pt>
                <c:pt idx="8">
                  <c:v>350</c:v>
                </c:pt>
                <c:pt idx="9">
                  <c:v>257</c:v>
                </c:pt>
                <c:pt idx="10">
                  <c:v>207</c:v>
                </c:pt>
                <c:pt idx="11">
                  <c:v>350</c:v>
                </c:pt>
                <c:pt idx="12">
                  <c:v>250</c:v>
                </c:pt>
                <c:pt idx="13">
                  <c:v>300</c:v>
                </c:pt>
              </c:numCache>
            </c:numRef>
          </c:val>
        </c:ser>
        <c:hiLowLines>
          <c:spPr>
            <a:ln w="38100">
              <a:solidFill>
                <a:srgbClr val="FF0000"/>
              </a:solidFill>
            </a:ln>
          </c:spPr>
        </c:hiLowLines>
        <c:upDownBars>
          <c:gapWidth val="150"/>
          <c:upBars>
            <c:spPr>
              <a:gradFill>
                <a:gsLst>
                  <a:gs pos="0">
                    <a:srgbClr val="000082"/>
                  </a:gs>
                  <a:gs pos="0">
                    <a:srgbClr val="000082"/>
                  </a:gs>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0"/>
              </a:gradFill>
              <a:ln>
                <a:solidFill>
                  <a:srgbClr val="002060"/>
                </a:solidFill>
              </a:ln>
            </c:spPr>
          </c:upBars>
          <c:downBars/>
        </c:upDownBars>
        <c:axId val="79486336"/>
        <c:axId val="79545856"/>
      </c:stockChart>
      <c:catAx>
        <c:axId val="79486336"/>
        <c:scaling>
          <c:orientation val="minMax"/>
        </c:scaling>
        <c:axPos val="b"/>
        <c:majorTickMark val="none"/>
        <c:tickLblPos val="nextTo"/>
        <c:crossAx val="79545856"/>
        <c:crosses val="autoZero"/>
        <c:auto val="1"/>
        <c:lblAlgn val="ctr"/>
        <c:lblOffset val="100"/>
      </c:catAx>
      <c:valAx>
        <c:axId val="79545856"/>
        <c:scaling>
          <c:orientation val="minMax"/>
        </c:scaling>
        <c:axPos val="l"/>
        <c:majorGridlines/>
        <c:title>
          <c:tx>
            <c:rich>
              <a:bodyPr/>
              <a:lstStyle/>
              <a:p>
                <a:pPr>
                  <a:defRPr/>
                </a:pPr>
                <a:r>
                  <a:rPr lang="en-US"/>
                  <a:t>Amount R</a:t>
                </a:r>
              </a:p>
            </c:rich>
          </c:tx>
          <c:layout/>
        </c:title>
        <c:numFmt formatCode="#,##0.00" sourceLinked="0"/>
        <c:majorTickMark val="none"/>
        <c:tickLblPos val="nextTo"/>
        <c:crossAx val="7948633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ZA"/>
  <c:style val="32"/>
  <c:chart>
    <c:title>
      <c:tx>
        <c:rich>
          <a:bodyPr/>
          <a:lstStyle/>
          <a:p>
            <a:pPr>
              <a:defRPr sz="1100"/>
            </a:pPr>
            <a:r>
              <a:rPr lang="en-US" sz="1100"/>
              <a:t>Deeds Office Search Recovery</a:t>
            </a:r>
          </a:p>
        </c:rich>
      </c:tx>
      <c:layout/>
    </c:title>
    <c:plotArea>
      <c:layout/>
      <c:stockChart>
        <c:ser>
          <c:idx val="0"/>
          <c:order val="0"/>
          <c:tx>
            <c:strRef>
              <c:f>'Whole Country'!$R$729</c:f>
              <c:strCache>
                <c:ptCount val="1"/>
                <c:pt idx="0">
                  <c:v>Average</c:v>
                </c:pt>
              </c:strCache>
            </c:strRef>
          </c:tx>
          <c:spPr>
            <a:ln w="66675">
              <a:noFill/>
            </a:ln>
          </c:spPr>
          <c:marker>
            <c:symbol val="none"/>
          </c:marker>
          <c:cat>
            <c:strRef>
              <c:f>'Whole Country'!$Q$730:$Q$743</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Country'!$R$730:$R$743</c:f>
              <c:numCache>
                <c:formatCode>General</c:formatCode>
                <c:ptCount val="14"/>
                <c:pt idx="0">
                  <c:v>95</c:v>
                </c:pt>
                <c:pt idx="1">
                  <c:v>64</c:v>
                </c:pt>
                <c:pt idx="2">
                  <c:v>75</c:v>
                </c:pt>
                <c:pt idx="3">
                  <c:v>120</c:v>
                </c:pt>
                <c:pt idx="4">
                  <c:v>92</c:v>
                </c:pt>
                <c:pt idx="5">
                  <c:v>100</c:v>
                </c:pt>
                <c:pt idx="6">
                  <c:v>100</c:v>
                </c:pt>
                <c:pt idx="7">
                  <c:v>102</c:v>
                </c:pt>
                <c:pt idx="8">
                  <c:v>67</c:v>
                </c:pt>
                <c:pt idx="9">
                  <c:v>57</c:v>
                </c:pt>
                <c:pt idx="10">
                  <c:v>100</c:v>
                </c:pt>
                <c:pt idx="11">
                  <c:v>69</c:v>
                </c:pt>
                <c:pt idx="12">
                  <c:v>100</c:v>
                </c:pt>
                <c:pt idx="13">
                  <c:v>100</c:v>
                </c:pt>
              </c:numCache>
            </c:numRef>
          </c:val>
        </c:ser>
        <c:ser>
          <c:idx val="1"/>
          <c:order val="1"/>
          <c:tx>
            <c:strRef>
              <c:f>'Whole Country'!$S$729</c:f>
              <c:strCache>
                <c:ptCount val="1"/>
                <c:pt idx="0">
                  <c:v>High</c:v>
                </c:pt>
              </c:strCache>
            </c:strRef>
          </c:tx>
          <c:spPr>
            <a:ln w="66675">
              <a:noFill/>
            </a:ln>
          </c:spPr>
          <c:marker>
            <c:symbol val="none"/>
          </c:marker>
          <c:cat>
            <c:strRef>
              <c:f>'Whole Country'!$Q$730:$Q$743</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Country'!$S$730:$S$743</c:f>
              <c:numCache>
                <c:formatCode>General</c:formatCode>
                <c:ptCount val="14"/>
                <c:pt idx="0">
                  <c:v>700</c:v>
                </c:pt>
                <c:pt idx="1">
                  <c:v>400</c:v>
                </c:pt>
                <c:pt idx="2">
                  <c:v>256</c:v>
                </c:pt>
                <c:pt idx="3">
                  <c:v>600</c:v>
                </c:pt>
                <c:pt idx="4">
                  <c:v>250</c:v>
                </c:pt>
                <c:pt idx="5">
                  <c:v>700</c:v>
                </c:pt>
                <c:pt idx="6">
                  <c:v>200</c:v>
                </c:pt>
                <c:pt idx="7">
                  <c:v>500</c:v>
                </c:pt>
                <c:pt idx="8">
                  <c:v>171</c:v>
                </c:pt>
                <c:pt idx="9">
                  <c:v>300</c:v>
                </c:pt>
                <c:pt idx="10">
                  <c:v>300</c:v>
                </c:pt>
                <c:pt idx="11">
                  <c:v>100</c:v>
                </c:pt>
                <c:pt idx="12">
                  <c:v>150</c:v>
                </c:pt>
                <c:pt idx="13">
                  <c:v>300</c:v>
                </c:pt>
              </c:numCache>
            </c:numRef>
          </c:val>
        </c:ser>
        <c:ser>
          <c:idx val="2"/>
          <c:order val="2"/>
          <c:tx>
            <c:strRef>
              <c:f>'Whole Country'!$T$729</c:f>
              <c:strCache>
                <c:ptCount val="1"/>
                <c:pt idx="0">
                  <c:v>Lower1/4</c:v>
                </c:pt>
              </c:strCache>
            </c:strRef>
          </c:tx>
          <c:spPr>
            <a:ln w="66675">
              <a:noFill/>
            </a:ln>
          </c:spPr>
          <c:marker>
            <c:symbol val="none"/>
          </c:marker>
          <c:cat>
            <c:strRef>
              <c:f>'Whole Country'!$Q$730:$Q$743</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Country'!$T$730:$T$743</c:f>
              <c:numCache>
                <c:formatCode>General</c:formatCode>
                <c:ptCount val="14"/>
                <c:pt idx="0">
                  <c:v>60</c:v>
                </c:pt>
                <c:pt idx="1">
                  <c:v>36</c:v>
                </c:pt>
                <c:pt idx="2">
                  <c:v>50</c:v>
                </c:pt>
                <c:pt idx="3">
                  <c:v>80</c:v>
                </c:pt>
                <c:pt idx="4">
                  <c:v>165</c:v>
                </c:pt>
                <c:pt idx="5">
                  <c:v>80</c:v>
                </c:pt>
                <c:pt idx="6">
                  <c:v>69</c:v>
                </c:pt>
                <c:pt idx="7">
                  <c:v>81</c:v>
                </c:pt>
                <c:pt idx="8">
                  <c:v>52</c:v>
                </c:pt>
                <c:pt idx="9">
                  <c:v>57</c:v>
                </c:pt>
                <c:pt idx="10">
                  <c:v>78</c:v>
                </c:pt>
                <c:pt idx="11">
                  <c:v>61</c:v>
                </c:pt>
                <c:pt idx="12">
                  <c:v>71</c:v>
                </c:pt>
                <c:pt idx="13">
                  <c:v>73</c:v>
                </c:pt>
              </c:numCache>
            </c:numRef>
          </c:val>
        </c:ser>
        <c:ser>
          <c:idx val="3"/>
          <c:order val="3"/>
          <c:tx>
            <c:strRef>
              <c:f>'Whole Country'!$U$729</c:f>
              <c:strCache>
                <c:ptCount val="1"/>
                <c:pt idx="0">
                  <c:v>Three quarter</c:v>
                </c:pt>
              </c:strCache>
            </c:strRef>
          </c:tx>
          <c:spPr>
            <a:ln w="66675">
              <a:noFill/>
            </a:ln>
          </c:spPr>
          <c:marker>
            <c:symbol val="none"/>
          </c:marker>
          <c:cat>
            <c:strRef>
              <c:f>'Whole Country'!$Q$730:$Q$743</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Country'!$U$730:$U$743</c:f>
              <c:numCache>
                <c:formatCode>General</c:formatCode>
                <c:ptCount val="14"/>
                <c:pt idx="0">
                  <c:v>120</c:v>
                </c:pt>
                <c:pt idx="1">
                  <c:v>94</c:v>
                </c:pt>
                <c:pt idx="2">
                  <c:v>100</c:v>
                </c:pt>
                <c:pt idx="3">
                  <c:v>170</c:v>
                </c:pt>
                <c:pt idx="4">
                  <c:v>114</c:v>
                </c:pt>
                <c:pt idx="5">
                  <c:v>150</c:v>
                </c:pt>
                <c:pt idx="6">
                  <c:v>132</c:v>
                </c:pt>
                <c:pt idx="7">
                  <c:v>150</c:v>
                </c:pt>
                <c:pt idx="8">
                  <c:v>100</c:v>
                </c:pt>
                <c:pt idx="9">
                  <c:v>100</c:v>
                </c:pt>
                <c:pt idx="10">
                  <c:v>150</c:v>
                </c:pt>
                <c:pt idx="11">
                  <c:v>82</c:v>
                </c:pt>
                <c:pt idx="12">
                  <c:v>131</c:v>
                </c:pt>
                <c:pt idx="13">
                  <c:v>125</c:v>
                </c:pt>
              </c:numCache>
            </c:numRef>
          </c:val>
        </c:ser>
        <c:hiLowLines>
          <c:spPr>
            <a:ln w="38100">
              <a:solidFill>
                <a:srgbClr val="FF0000"/>
              </a:solidFill>
            </a:ln>
          </c:spPr>
        </c:hiLowLines>
        <c:upDownBars>
          <c:gapWidth val="150"/>
          <c:upBars>
            <c:spPr>
              <a:gradFill>
                <a:gsLst>
                  <a:gs pos="0">
                    <a:srgbClr val="000082"/>
                  </a:gs>
                  <a:gs pos="0">
                    <a:srgbClr val="000082"/>
                  </a:gs>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0"/>
              </a:gradFill>
              <a:ln>
                <a:solidFill>
                  <a:srgbClr val="002060"/>
                </a:solidFill>
              </a:ln>
            </c:spPr>
          </c:upBars>
          <c:downBars/>
        </c:upDownBars>
        <c:axId val="67527424"/>
        <c:axId val="67529344"/>
      </c:stockChart>
      <c:catAx>
        <c:axId val="67527424"/>
        <c:scaling>
          <c:orientation val="minMax"/>
        </c:scaling>
        <c:axPos val="b"/>
        <c:majorTickMark val="none"/>
        <c:tickLblPos val="nextTo"/>
        <c:crossAx val="67529344"/>
        <c:crosses val="autoZero"/>
        <c:auto val="1"/>
        <c:lblAlgn val="ctr"/>
        <c:lblOffset val="100"/>
      </c:catAx>
      <c:valAx>
        <c:axId val="67529344"/>
        <c:scaling>
          <c:orientation val="minMax"/>
        </c:scaling>
        <c:axPos val="l"/>
        <c:majorGridlines/>
        <c:title>
          <c:tx>
            <c:rich>
              <a:bodyPr/>
              <a:lstStyle/>
              <a:p>
                <a:pPr>
                  <a:defRPr/>
                </a:pPr>
                <a:r>
                  <a:rPr lang="en-US"/>
                  <a:t>Amount R</a:t>
                </a:r>
              </a:p>
            </c:rich>
          </c:tx>
          <c:layout/>
        </c:title>
        <c:numFmt formatCode="#,##0.00" sourceLinked="0"/>
        <c:majorTickMark val="none"/>
        <c:tickLblPos val="nextTo"/>
        <c:crossAx val="6752742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ZA"/>
  <c:style val="26"/>
  <c:chart>
    <c:title>
      <c:tx>
        <c:rich>
          <a:bodyPr/>
          <a:lstStyle/>
          <a:p>
            <a:pPr>
              <a:defRPr sz="1100"/>
            </a:pPr>
            <a:r>
              <a:rPr lang="en-ZA" sz="1100"/>
              <a:t>Rates clearance certificate costs</a:t>
            </a:r>
          </a:p>
        </c:rich>
      </c:tx>
      <c:layout/>
      <c:overlay val="1"/>
    </c:title>
    <c:plotArea>
      <c:layout>
        <c:manualLayout>
          <c:layoutTarget val="inner"/>
          <c:xMode val="edge"/>
          <c:yMode val="edge"/>
          <c:x val="0.13504763959299729"/>
          <c:y val="0.17075007290755317"/>
          <c:w val="0.73024916405997264"/>
          <c:h val="0.70895042286381194"/>
        </c:manualLayout>
      </c:layout>
      <c:barChart>
        <c:barDir val="col"/>
        <c:grouping val="clustered"/>
        <c:ser>
          <c:idx val="0"/>
          <c:order val="0"/>
          <c:cat>
            <c:strRef>
              <c:f>'Whole Country'!$O$705:$O$709</c:f>
              <c:strCache>
                <c:ptCount val="5"/>
                <c:pt idx="0">
                  <c:v>Low</c:v>
                </c:pt>
                <c:pt idx="1">
                  <c:v>Median</c:v>
                </c:pt>
                <c:pt idx="2">
                  <c:v>Average</c:v>
                </c:pt>
                <c:pt idx="3">
                  <c:v>Three quarter</c:v>
                </c:pt>
                <c:pt idx="4">
                  <c:v>High</c:v>
                </c:pt>
              </c:strCache>
            </c:strRef>
          </c:cat>
          <c:val>
            <c:numRef>
              <c:f>'Whole Country'!$P$705:$P$709</c:f>
              <c:numCache>
                <c:formatCode>"R"\ #,##0.00</c:formatCode>
                <c:ptCount val="5"/>
                <c:pt idx="0">
                  <c:v>4</c:v>
                </c:pt>
                <c:pt idx="1">
                  <c:v>172</c:v>
                </c:pt>
                <c:pt idx="2">
                  <c:v>246.88090737240077</c:v>
                </c:pt>
                <c:pt idx="3" formatCode="General">
                  <c:v>300</c:v>
                </c:pt>
                <c:pt idx="4" formatCode="General">
                  <c:v>1000</c:v>
                </c:pt>
              </c:numCache>
            </c:numRef>
          </c:val>
        </c:ser>
        <c:axId val="103975936"/>
        <c:axId val="104003072"/>
      </c:barChart>
      <c:catAx>
        <c:axId val="103975936"/>
        <c:scaling>
          <c:orientation val="minMax"/>
        </c:scaling>
        <c:axPos val="b"/>
        <c:tickLblPos val="nextTo"/>
        <c:crossAx val="104003072"/>
        <c:crosses val="autoZero"/>
        <c:auto val="1"/>
        <c:lblAlgn val="ctr"/>
        <c:lblOffset val="100"/>
      </c:catAx>
      <c:valAx>
        <c:axId val="104003072"/>
        <c:scaling>
          <c:orientation val="minMax"/>
        </c:scaling>
        <c:axPos val="l"/>
        <c:majorGridlines/>
        <c:title>
          <c:tx>
            <c:rich>
              <a:bodyPr rot="-5400000" vert="horz"/>
              <a:lstStyle/>
              <a:p>
                <a:pPr>
                  <a:defRPr/>
                </a:pPr>
                <a:r>
                  <a:rPr lang="en-US"/>
                  <a:t>Amount R</a:t>
                </a:r>
              </a:p>
            </c:rich>
          </c:tx>
          <c:layout/>
        </c:title>
        <c:numFmt formatCode="#,##0.00" sourceLinked="0"/>
        <c:tickLblPos val="nextTo"/>
        <c:crossAx val="10397593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ZA"/>
  <c:style val="24"/>
  <c:chart>
    <c:title>
      <c:tx>
        <c:rich>
          <a:bodyPr/>
          <a:lstStyle/>
          <a:p>
            <a:pPr>
              <a:defRPr sz="1100"/>
            </a:pPr>
            <a:r>
              <a:rPr lang="en-US" sz="1100"/>
              <a:t>Recovery - Standard Bank</a:t>
            </a:r>
          </a:p>
        </c:rich>
      </c:tx>
      <c:layout/>
    </c:title>
    <c:plotArea>
      <c:layout/>
      <c:stockChart>
        <c:ser>
          <c:idx val="0"/>
          <c:order val="0"/>
          <c:tx>
            <c:strRef>
              <c:f>'Whole Country'!$R$784</c:f>
              <c:strCache>
                <c:ptCount val="1"/>
                <c:pt idx="0">
                  <c:v>Low</c:v>
                </c:pt>
              </c:strCache>
            </c:strRef>
          </c:tx>
          <c:spPr>
            <a:ln w="47625">
              <a:noFill/>
            </a:ln>
          </c:spPr>
          <c:marker>
            <c:symbol val="none"/>
          </c:marker>
          <c:cat>
            <c:strRef>
              <c:f>'Whole Country'!$Q$785:$Q$798</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Country'!$R$785:$R$798</c:f>
              <c:numCache>
                <c:formatCode>General</c:formatCode>
                <c:ptCount val="14"/>
                <c:pt idx="0">
                  <c:v>6</c:v>
                </c:pt>
                <c:pt idx="1">
                  <c:v>95</c:v>
                </c:pt>
                <c:pt idx="2">
                  <c:v>65</c:v>
                </c:pt>
                <c:pt idx="3">
                  <c:v>150</c:v>
                </c:pt>
                <c:pt idx="4">
                  <c:v>100</c:v>
                </c:pt>
                <c:pt idx="5">
                  <c:v>10</c:v>
                </c:pt>
                <c:pt idx="6">
                  <c:v>100</c:v>
                </c:pt>
                <c:pt idx="7">
                  <c:v>50</c:v>
                </c:pt>
                <c:pt idx="8">
                  <c:v>80</c:v>
                </c:pt>
                <c:pt idx="9">
                  <c:v>89</c:v>
                </c:pt>
                <c:pt idx="10">
                  <c:v>82</c:v>
                </c:pt>
                <c:pt idx="11">
                  <c:v>97</c:v>
                </c:pt>
                <c:pt idx="12">
                  <c:v>107</c:v>
                </c:pt>
                <c:pt idx="13">
                  <c:v>30</c:v>
                </c:pt>
              </c:numCache>
            </c:numRef>
          </c:val>
        </c:ser>
        <c:ser>
          <c:idx val="1"/>
          <c:order val="1"/>
          <c:tx>
            <c:strRef>
              <c:f>'Whole Country'!$S$784</c:f>
              <c:strCache>
                <c:ptCount val="1"/>
                <c:pt idx="0">
                  <c:v>High</c:v>
                </c:pt>
              </c:strCache>
            </c:strRef>
          </c:tx>
          <c:spPr>
            <a:ln w="47625">
              <a:noFill/>
            </a:ln>
          </c:spPr>
          <c:marker>
            <c:symbol val="none"/>
          </c:marker>
          <c:cat>
            <c:strRef>
              <c:f>'Whole Country'!$Q$785:$Q$798</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Country'!$S$785:$S$798</c:f>
              <c:numCache>
                <c:formatCode>General</c:formatCode>
                <c:ptCount val="14"/>
                <c:pt idx="0">
                  <c:v>550</c:v>
                </c:pt>
                <c:pt idx="1">
                  <c:v>280</c:v>
                </c:pt>
                <c:pt idx="2">
                  <c:v>468</c:v>
                </c:pt>
                <c:pt idx="3">
                  <c:v>500</c:v>
                </c:pt>
                <c:pt idx="4">
                  <c:v>450</c:v>
                </c:pt>
                <c:pt idx="5">
                  <c:v>285</c:v>
                </c:pt>
                <c:pt idx="6">
                  <c:v>200</c:v>
                </c:pt>
                <c:pt idx="7">
                  <c:v>250</c:v>
                </c:pt>
                <c:pt idx="8">
                  <c:v>299</c:v>
                </c:pt>
                <c:pt idx="9">
                  <c:v>250</c:v>
                </c:pt>
                <c:pt idx="10">
                  <c:v>228</c:v>
                </c:pt>
                <c:pt idx="11">
                  <c:v>450</c:v>
                </c:pt>
                <c:pt idx="12">
                  <c:v>245</c:v>
                </c:pt>
                <c:pt idx="13">
                  <c:v>550</c:v>
                </c:pt>
              </c:numCache>
            </c:numRef>
          </c:val>
        </c:ser>
        <c:ser>
          <c:idx val="2"/>
          <c:order val="2"/>
          <c:tx>
            <c:strRef>
              <c:f>'Whole Country'!$T$784</c:f>
              <c:strCache>
                <c:ptCount val="1"/>
                <c:pt idx="0">
                  <c:v>Average</c:v>
                </c:pt>
              </c:strCache>
            </c:strRef>
          </c:tx>
          <c:spPr>
            <a:ln w="47625">
              <a:noFill/>
            </a:ln>
            <a:effectLst>
              <a:outerShdw blurRad="50800" dist="38100" dir="2700000" algn="tl" rotWithShape="0">
                <a:srgbClr val="002060">
                  <a:alpha val="40000"/>
                </a:srgbClr>
              </a:outerShdw>
            </a:effectLst>
          </c:spPr>
          <c:marker>
            <c:symbol val="dash"/>
            <c:size val="8"/>
            <c:spPr>
              <a:solidFill>
                <a:srgbClr val="002060"/>
              </a:solidFill>
              <a:ln>
                <a:solidFill>
                  <a:srgbClr val="002060"/>
                </a:solidFill>
              </a:ln>
            </c:spPr>
          </c:marker>
          <c:cat>
            <c:strRef>
              <c:f>'Whole Country'!$Q$785:$Q$798</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Country'!$T$785:$T$798</c:f>
              <c:numCache>
                <c:formatCode>General</c:formatCode>
                <c:ptCount val="14"/>
                <c:pt idx="0">
                  <c:v>144</c:v>
                </c:pt>
                <c:pt idx="1">
                  <c:v>175</c:v>
                </c:pt>
                <c:pt idx="2">
                  <c:v>142</c:v>
                </c:pt>
                <c:pt idx="3">
                  <c:v>295</c:v>
                </c:pt>
                <c:pt idx="4">
                  <c:v>261</c:v>
                </c:pt>
                <c:pt idx="5">
                  <c:v>120</c:v>
                </c:pt>
                <c:pt idx="6">
                  <c:v>130</c:v>
                </c:pt>
                <c:pt idx="7">
                  <c:v>132</c:v>
                </c:pt>
                <c:pt idx="8">
                  <c:v>175</c:v>
                </c:pt>
                <c:pt idx="9">
                  <c:v>142</c:v>
                </c:pt>
                <c:pt idx="10">
                  <c:v>129</c:v>
                </c:pt>
                <c:pt idx="11">
                  <c:v>191</c:v>
                </c:pt>
                <c:pt idx="12">
                  <c:v>185</c:v>
                </c:pt>
                <c:pt idx="13">
                  <c:v>158</c:v>
                </c:pt>
              </c:numCache>
            </c:numRef>
          </c:val>
        </c:ser>
        <c:hiLowLines>
          <c:spPr>
            <a:ln w="34925">
              <a:solidFill>
                <a:srgbClr val="FF0000"/>
              </a:solidFill>
            </a:ln>
          </c:spPr>
        </c:hiLowLines>
        <c:axId val="64412288"/>
        <c:axId val="66534400"/>
      </c:stockChart>
      <c:catAx>
        <c:axId val="64412288"/>
        <c:scaling>
          <c:orientation val="minMax"/>
        </c:scaling>
        <c:axPos val="b"/>
        <c:majorTickMark val="none"/>
        <c:tickLblPos val="nextTo"/>
        <c:crossAx val="66534400"/>
        <c:crosses val="autoZero"/>
        <c:auto val="1"/>
        <c:lblAlgn val="ctr"/>
        <c:lblOffset val="100"/>
      </c:catAx>
      <c:valAx>
        <c:axId val="66534400"/>
        <c:scaling>
          <c:orientation val="minMax"/>
        </c:scaling>
        <c:axPos val="l"/>
        <c:majorGridlines/>
        <c:title>
          <c:tx>
            <c:rich>
              <a:bodyPr/>
              <a:lstStyle/>
              <a:p>
                <a:pPr>
                  <a:defRPr/>
                </a:pPr>
                <a:r>
                  <a:rPr lang="en-US"/>
                  <a:t>Amount R</a:t>
                </a:r>
              </a:p>
            </c:rich>
          </c:tx>
          <c:layout/>
        </c:title>
        <c:numFmt formatCode="#,##0.00" sourceLinked="0"/>
        <c:majorTickMark val="none"/>
        <c:tickLblPos val="nextTo"/>
        <c:crossAx val="6441228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ZA"/>
  <c:style val="24"/>
  <c:chart>
    <c:title>
      <c:tx>
        <c:rich>
          <a:bodyPr/>
          <a:lstStyle/>
          <a:p>
            <a:pPr>
              <a:defRPr sz="1100"/>
            </a:pPr>
            <a:r>
              <a:rPr lang="en-US" sz="1100"/>
              <a:t>Recovery - Absa Bank</a:t>
            </a:r>
          </a:p>
        </c:rich>
      </c:tx>
      <c:layout/>
    </c:title>
    <c:plotArea>
      <c:layout/>
      <c:stockChart>
        <c:ser>
          <c:idx val="0"/>
          <c:order val="0"/>
          <c:tx>
            <c:strRef>
              <c:f>'Whole Country'!$W$784</c:f>
              <c:strCache>
                <c:ptCount val="1"/>
                <c:pt idx="0">
                  <c:v>Low</c:v>
                </c:pt>
              </c:strCache>
            </c:strRef>
          </c:tx>
          <c:spPr>
            <a:ln w="47625">
              <a:noFill/>
            </a:ln>
          </c:spPr>
          <c:marker>
            <c:symbol val="none"/>
          </c:marker>
          <c:cat>
            <c:strRef>
              <c:f>'Whole Country'!$V$785:$V$798</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Country'!$W$785:$W$798</c:f>
              <c:numCache>
                <c:formatCode>General</c:formatCode>
                <c:ptCount val="14"/>
                <c:pt idx="0">
                  <c:v>5</c:v>
                </c:pt>
                <c:pt idx="1">
                  <c:v>95</c:v>
                </c:pt>
                <c:pt idx="2">
                  <c:v>43</c:v>
                </c:pt>
                <c:pt idx="3">
                  <c:v>150</c:v>
                </c:pt>
                <c:pt idx="4">
                  <c:v>6</c:v>
                </c:pt>
                <c:pt idx="5">
                  <c:v>5</c:v>
                </c:pt>
                <c:pt idx="6">
                  <c:v>100</c:v>
                </c:pt>
                <c:pt idx="7">
                  <c:v>50</c:v>
                </c:pt>
                <c:pt idx="8">
                  <c:v>80</c:v>
                </c:pt>
                <c:pt idx="9">
                  <c:v>80</c:v>
                </c:pt>
                <c:pt idx="10">
                  <c:v>95</c:v>
                </c:pt>
                <c:pt idx="11">
                  <c:v>97</c:v>
                </c:pt>
                <c:pt idx="12">
                  <c:v>87</c:v>
                </c:pt>
                <c:pt idx="13">
                  <c:v>80</c:v>
                </c:pt>
              </c:numCache>
            </c:numRef>
          </c:val>
        </c:ser>
        <c:ser>
          <c:idx val="1"/>
          <c:order val="1"/>
          <c:tx>
            <c:strRef>
              <c:f>'Whole Country'!$X$784</c:f>
              <c:strCache>
                <c:ptCount val="1"/>
                <c:pt idx="0">
                  <c:v>High</c:v>
                </c:pt>
              </c:strCache>
            </c:strRef>
          </c:tx>
          <c:spPr>
            <a:ln w="47625">
              <a:noFill/>
            </a:ln>
          </c:spPr>
          <c:marker>
            <c:symbol val="none"/>
          </c:marker>
          <c:cat>
            <c:strRef>
              <c:f>'Whole Country'!$V$785:$V$798</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Country'!$X$785:$X$798</c:f>
              <c:numCache>
                <c:formatCode>General</c:formatCode>
                <c:ptCount val="14"/>
                <c:pt idx="0">
                  <c:v>550</c:v>
                </c:pt>
                <c:pt idx="1">
                  <c:v>151</c:v>
                </c:pt>
                <c:pt idx="2">
                  <c:v>468</c:v>
                </c:pt>
                <c:pt idx="3">
                  <c:v>500</c:v>
                </c:pt>
                <c:pt idx="4">
                  <c:v>315</c:v>
                </c:pt>
                <c:pt idx="5">
                  <c:v>285</c:v>
                </c:pt>
                <c:pt idx="6">
                  <c:v>200</c:v>
                </c:pt>
                <c:pt idx="7">
                  <c:v>250</c:v>
                </c:pt>
                <c:pt idx="8">
                  <c:v>299</c:v>
                </c:pt>
                <c:pt idx="9">
                  <c:v>250</c:v>
                </c:pt>
                <c:pt idx="10">
                  <c:v>273</c:v>
                </c:pt>
                <c:pt idx="11">
                  <c:v>350</c:v>
                </c:pt>
                <c:pt idx="12">
                  <c:v>245</c:v>
                </c:pt>
                <c:pt idx="13">
                  <c:v>550</c:v>
                </c:pt>
              </c:numCache>
            </c:numRef>
          </c:val>
        </c:ser>
        <c:ser>
          <c:idx val="2"/>
          <c:order val="2"/>
          <c:tx>
            <c:strRef>
              <c:f>'Whole Country'!$Y$784</c:f>
              <c:strCache>
                <c:ptCount val="1"/>
                <c:pt idx="0">
                  <c:v>Average</c:v>
                </c:pt>
              </c:strCache>
            </c:strRef>
          </c:tx>
          <c:spPr>
            <a:ln w="47625">
              <a:noFill/>
            </a:ln>
            <a:effectLst>
              <a:outerShdw blurRad="50800" dist="38100" dir="2700000" algn="tl" rotWithShape="0">
                <a:srgbClr val="002060">
                  <a:alpha val="40000"/>
                </a:srgbClr>
              </a:outerShdw>
            </a:effectLst>
          </c:spPr>
          <c:marker>
            <c:symbol val="dash"/>
            <c:size val="9"/>
            <c:spPr>
              <a:solidFill>
                <a:srgbClr val="002060"/>
              </a:solidFill>
              <a:ln>
                <a:solidFill>
                  <a:srgbClr val="002060"/>
                </a:solidFill>
              </a:ln>
              <a:effectLst>
                <a:outerShdw blurRad="50800" dist="38100" dir="2700000" algn="tl" rotWithShape="0">
                  <a:srgbClr val="002060">
                    <a:alpha val="40000"/>
                  </a:srgbClr>
                </a:outerShdw>
              </a:effectLst>
            </c:spPr>
          </c:marker>
          <c:cat>
            <c:strRef>
              <c:f>'Whole Country'!$V$785:$V$798</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Country'!$Y$785:$Y$798</c:f>
              <c:numCache>
                <c:formatCode>General</c:formatCode>
                <c:ptCount val="14"/>
                <c:pt idx="0">
                  <c:v>143</c:v>
                </c:pt>
                <c:pt idx="1">
                  <c:v>250</c:v>
                </c:pt>
                <c:pt idx="2">
                  <c:v>143</c:v>
                </c:pt>
                <c:pt idx="3">
                  <c:v>295</c:v>
                </c:pt>
                <c:pt idx="4">
                  <c:v>115</c:v>
                </c:pt>
                <c:pt idx="5">
                  <c:v>122</c:v>
                </c:pt>
                <c:pt idx="6">
                  <c:v>145</c:v>
                </c:pt>
                <c:pt idx="7">
                  <c:v>125</c:v>
                </c:pt>
                <c:pt idx="8">
                  <c:v>193</c:v>
                </c:pt>
                <c:pt idx="9">
                  <c:v>136</c:v>
                </c:pt>
                <c:pt idx="10">
                  <c:v>126</c:v>
                </c:pt>
                <c:pt idx="11">
                  <c:v>182</c:v>
                </c:pt>
                <c:pt idx="12">
                  <c:v>173</c:v>
                </c:pt>
                <c:pt idx="13">
                  <c:v>168</c:v>
                </c:pt>
              </c:numCache>
            </c:numRef>
          </c:val>
        </c:ser>
        <c:hiLowLines>
          <c:spPr>
            <a:ln w="34925">
              <a:solidFill>
                <a:srgbClr val="FF0000"/>
              </a:solidFill>
            </a:ln>
          </c:spPr>
        </c:hiLowLines>
        <c:axId val="119778304"/>
        <c:axId val="119961856"/>
      </c:stockChart>
      <c:catAx>
        <c:axId val="119778304"/>
        <c:scaling>
          <c:orientation val="minMax"/>
        </c:scaling>
        <c:axPos val="b"/>
        <c:majorTickMark val="none"/>
        <c:tickLblPos val="nextTo"/>
        <c:crossAx val="119961856"/>
        <c:crosses val="autoZero"/>
        <c:auto val="1"/>
        <c:lblAlgn val="ctr"/>
        <c:lblOffset val="100"/>
      </c:catAx>
      <c:valAx>
        <c:axId val="119961856"/>
        <c:scaling>
          <c:orientation val="minMax"/>
        </c:scaling>
        <c:axPos val="l"/>
        <c:majorGridlines/>
        <c:title>
          <c:tx>
            <c:rich>
              <a:bodyPr/>
              <a:lstStyle/>
              <a:p>
                <a:pPr>
                  <a:defRPr/>
                </a:pPr>
                <a:r>
                  <a:rPr lang="en-US"/>
                  <a:t>Amount R</a:t>
                </a:r>
              </a:p>
            </c:rich>
          </c:tx>
          <c:layout/>
        </c:title>
        <c:numFmt formatCode="#,##0.00" sourceLinked="0"/>
        <c:majorTickMark val="none"/>
        <c:tickLblPos val="nextTo"/>
        <c:crossAx val="119778304"/>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ZA"/>
  <c:style val="24"/>
  <c:chart>
    <c:title>
      <c:tx>
        <c:rich>
          <a:bodyPr/>
          <a:lstStyle/>
          <a:p>
            <a:pPr>
              <a:defRPr sz="1100"/>
            </a:pPr>
            <a:r>
              <a:rPr lang="en-US" sz="1100"/>
              <a:t>Recovery - FNB</a:t>
            </a:r>
          </a:p>
        </c:rich>
      </c:tx>
      <c:layout/>
    </c:title>
    <c:plotArea>
      <c:layout/>
      <c:stockChart>
        <c:ser>
          <c:idx val="0"/>
          <c:order val="0"/>
          <c:tx>
            <c:strRef>
              <c:f>'Whole Country'!$AB$784</c:f>
              <c:strCache>
                <c:ptCount val="1"/>
                <c:pt idx="0">
                  <c:v>Low</c:v>
                </c:pt>
              </c:strCache>
            </c:strRef>
          </c:tx>
          <c:spPr>
            <a:ln w="47625">
              <a:noFill/>
            </a:ln>
          </c:spPr>
          <c:marker>
            <c:symbol val="none"/>
          </c:marker>
          <c:cat>
            <c:strRef>
              <c:f>'Whole Country'!$AA$785:$AA$798</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Country'!$AB$785:$AB$798</c:f>
              <c:numCache>
                <c:formatCode>General</c:formatCode>
                <c:ptCount val="14"/>
                <c:pt idx="0">
                  <c:v>10</c:v>
                </c:pt>
                <c:pt idx="1">
                  <c:v>64</c:v>
                </c:pt>
                <c:pt idx="2">
                  <c:v>65</c:v>
                </c:pt>
                <c:pt idx="3">
                  <c:v>53</c:v>
                </c:pt>
                <c:pt idx="4">
                  <c:v>8</c:v>
                </c:pt>
                <c:pt idx="5">
                  <c:v>10</c:v>
                </c:pt>
                <c:pt idx="6">
                  <c:v>100</c:v>
                </c:pt>
                <c:pt idx="7">
                  <c:v>50</c:v>
                </c:pt>
                <c:pt idx="8">
                  <c:v>80</c:v>
                </c:pt>
                <c:pt idx="9">
                  <c:v>80</c:v>
                </c:pt>
                <c:pt idx="10">
                  <c:v>82</c:v>
                </c:pt>
                <c:pt idx="11">
                  <c:v>100</c:v>
                </c:pt>
                <c:pt idx="12">
                  <c:v>107</c:v>
                </c:pt>
                <c:pt idx="13">
                  <c:v>20</c:v>
                </c:pt>
              </c:numCache>
            </c:numRef>
          </c:val>
        </c:ser>
        <c:ser>
          <c:idx val="1"/>
          <c:order val="1"/>
          <c:tx>
            <c:strRef>
              <c:f>'Whole Country'!$AC$784</c:f>
              <c:strCache>
                <c:ptCount val="1"/>
                <c:pt idx="0">
                  <c:v>High</c:v>
                </c:pt>
              </c:strCache>
            </c:strRef>
          </c:tx>
          <c:spPr>
            <a:ln w="47625">
              <a:noFill/>
            </a:ln>
          </c:spPr>
          <c:marker>
            <c:symbol val="none"/>
          </c:marker>
          <c:cat>
            <c:strRef>
              <c:f>'Whole Country'!$AA$785:$AA$798</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Country'!$AC$785:$AC$798</c:f>
              <c:numCache>
                <c:formatCode>General</c:formatCode>
                <c:ptCount val="14"/>
                <c:pt idx="0">
                  <c:v>550</c:v>
                </c:pt>
                <c:pt idx="1">
                  <c:v>280</c:v>
                </c:pt>
                <c:pt idx="2">
                  <c:v>468</c:v>
                </c:pt>
                <c:pt idx="3">
                  <c:v>400</c:v>
                </c:pt>
                <c:pt idx="4">
                  <c:v>315</c:v>
                </c:pt>
                <c:pt idx="5">
                  <c:v>285</c:v>
                </c:pt>
                <c:pt idx="6">
                  <c:v>200</c:v>
                </c:pt>
                <c:pt idx="7">
                  <c:v>250</c:v>
                </c:pt>
                <c:pt idx="8">
                  <c:v>299</c:v>
                </c:pt>
                <c:pt idx="9">
                  <c:v>250</c:v>
                </c:pt>
                <c:pt idx="10">
                  <c:v>142</c:v>
                </c:pt>
                <c:pt idx="11">
                  <c:v>117</c:v>
                </c:pt>
                <c:pt idx="12">
                  <c:v>245</c:v>
                </c:pt>
                <c:pt idx="13">
                  <c:v>550</c:v>
                </c:pt>
              </c:numCache>
            </c:numRef>
          </c:val>
        </c:ser>
        <c:ser>
          <c:idx val="2"/>
          <c:order val="2"/>
          <c:tx>
            <c:strRef>
              <c:f>'Whole Country'!$AD$784</c:f>
              <c:strCache>
                <c:ptCount val="1"/>
                <c:pt idx="0">
                  <c:v>Average</c:v>
                </c:pt>
              </c:strCache>
            </c:strRef>
          </c:tx>
          <c:spPr>
            <a:ln w="47625">
              <a:noFill/>
            </a:ln>
            <a:effectLst>
              <a:outerShdw blurRad="50800" dist="38100" dir="2700000" algn="tl" rotWithShape="0">
                <a:srgbClr val="002060">
                  <a:alpha val="40000"/>
                </a:srgbClr>
              </a:outerShdw>
            </a:effectLst>
          </c:spPr>
          <c:marker>
            <c:symbol val="dash"/>
            <c:size val="9"/>
            <c:spPr>
              <a:solidFill>
                <a:srgbClr val="002060"/>
              </a:solidFill>
              <a:ln>
                <a:solidFill>
                  <a:srgbClr val="002060"/>
                </a:solidFill>
              </a:ln>
              <a:effectLst>
                <a:outerShdw blurRad="50800" dist="38100" dir="2700000" algn="tl" rotWithShape="0">
                  <a:srgbClr val="002060">
                    <a:alpha val="40000"/>
                  </a:srgbClr>
                </a:outerShdw>
              </a:effectLst>
            </c:spPr>
          </c:marker>
          <c:cat>
            <c:strRef>
              <c:f>'Whole Country'!$AA$785:$AA$798</c:f>
              <c:strCache>
                <c:ptCount val="14"/>
                <c:pt idx="0">
                  <c:v>National</c:v>
                </c:pt>
                <c:pt idx="1">
                  <c:v>Bloemfontein</c:v>
                </c:pt>
                <c:pt idx="2">
                  <c:v>Cape Town</c:v>
                </c:pt>
                <c:pt idx="3">
                  <c:v>Durban</c:v>
                </c:pt>
                <c:pt idx="4">
                  <c:v>Jhb - East</c:v>
                </c:pt>
                <c:pt idx="5">
                  <c:v>Jhb - Sandton</c:v>
                </c:pt>
                <c:pt idx="6">
                  <c:v>Jhb - South</c:v>
                </c:pt>
                <c:pt idx="7">
                  <c:v>Jhb - West</c:v>
                </c:pt>
                <c:pt idx="8">
                  <c:v>Neslpruit</c:v>
                </c:pt>
                <c:pt idx="9">
                  <c:v>PE/EL</c:v>
                </c:pt>
                <c:pt idx="10">
                  <c:v>Pietermaritzburg</c:v>
                </c:pt>
                <c:pt idx="11">
                  <c:v>Polokwane</c:v>
                </c:pt>
                <c:pt idx="12">
                  <c:v>Potchefstroom</c:v>
                </c:pt>
                <c:pt idx="13">
                  <c:v>Pretoria</c:v>
                </c:pt>
              </c:strCache>
            </c:strRef>
          </c:cat>
          <c:val>
            <c:numRef>
              <c:f>'Whole Country'!$AD$785:$AD$798</c:f>
              <c:numCache>
                <c:formatCode>General</c:formatCode>
                <c:ptCount val="14"/>
                <c:pt idx="0">
                  <c:v>142</c:v>
                </c:pt>
                <c:pt idx="1">
                  <c:v>187</c:v>
                </c:pt>
                <c:pt idx="2">
                  <c:v>151</c:v>
                </c:pt>
                <c:pt idx="3">
                  <c:v>149</c:v>
                </c:pt>
                <c:pt idx="4">
                  <c:v>108</c:v>
                </c:pt>
                <c:pt idx="5">
                  <c:v>128</c:v>
                </c:pt>
                <c:pt idx="6">
                  <c:v>133</c:v>
                </c:pt>
                <c:pt idx="7">
                  <c:v>122</c:v>
                </c:pt>
                <c:pt idx="8">
                  <c:v>194</c:v>
                </c:pt>
                <c:pt idx="9">
                  <c:v>136</c:v>
                </c:pt>
                <c:pt idx="10">
                  <c:v>111</c:v>
                </c:pt>
                <c:pt idx="11">
                  <c:v>108</c:v>
                </c:pt>
                <c:pt idx="12">
                  <c:v>185</c:v>
                </c:pt>
                <c:pt idx="13">
                  <c:v>169</c:v>
                </c:pt>
              </c:numCache>
            </c:numRef>
          </c:val>
        </c:ser>
        <c:hiLowLines>
          <c:spPr>
            <a:ln w="34925">
              <a:solidFill>
                <a:srgbClr val="FF0000"/>
              </a:solidFill>
            </a:ln>
          </c:spPr>
        </c:hiLowLines>
        <c:axId val="64226048"/>
        <c:axId val="64256256"/>
      </c:stockChart>
      <c:catAx>
        <c:axId val="64226048"/>
        <c:scaling>
          <c:orientation val="minMax"/>
        </c:scaling>
        <c:axPos val="b"/>
        <c:majorTickMark val="none"/>
        <c:tickLblPos val="nextTo"/>
        <c:crossAx val="64256256"/>
        <c:crosses val="autoZero"/>
        <c:auto val="1"/>
        <c:lblAlgn val="ctr"/>
        <c:lblOffset val="100"/>
      </c:catAx>
      <c:valAx>
        <c:axId val="64256256"/>
        <c:scaling>
          <c:orientation val="minMax"/>
        </c:scaling>
        <c:axPos val="l"/>
        <c:majorGridlines/>
        <c:title>
          <c:tx>
            <c:rich>
              <a:bodyPr/>
              <a:lstStyle/>
              <a:p>
                <a:pPr>
                  <a:defRPr/>
                </a:pPr>
                <a:r>
                  <a:rPr lang="en-US"/>
                  <a:t>Amount R</a:t>
                </a:r>
              </a:p>
            </c:rich>
          </c:tx>
          <c:layout/>
        </c:title>
        <c:numFmt formatCode="#,##0.00" sourceLinked="0"/>
        <c:majorTickMark val="none"/>
        <c:tickLblPos val="nextTo"/>
        <c:crossAx val="6422604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96AD-124C-45AF-9A4A-B4B9CB2F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17</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Bloemfontein</vt:lpstr>
    </vt:vector>
  </TitlesOfParts>
  <Company>Korbitec</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Bloemfontein</dc:title>
  <dc:subject/>
  <dc:creator>Korbitec</dc:creator>
  <cp:keywords/>
  <dc:description/>
  <cp:lastModifiedBy>Korbitec</cp:lastModifiedBy>
  <cp:revision>20</cp:revision>
  <dcterms:created xsi:type="dcterms:W3CDTF">2010-10-19T09:56:00Z</dcterms:created>
  <dcterms:modified xsi:type="dcterms:W3CDTF">2010-10-27T14:09:00Z</dcterms:modified>
</cp:coreProperties>
</file>