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45" w:rsidRPr="00412710" w:rsidRDefault="00493F09" w:rsidP="00FB1EE7">
      <w:pPr>
        <w:outlineLvl w:val="0"/>
        <w:rPr>
          <w:rFonts w:ascii="Helvetica" w:hAnsi="Helvetica"/>
          <w:sz w:val="24"/>
          <w:szCs w:val="24"/>
        </w:rPr>
      </w:pPr>
      <w:r>
        <w:rPr>
          <w:rFonts w:ascii="Helvetica" w:hAnsi="Helvetica"/>
          <w:sz w:val="24"/>
          <w:szCs w:val="24"/>
        </w:rPr>
        <w:t xml:space="preserve">National Summary - </w:t>
      </w:r>
      <w:r w:rsidR="00412710" w:rsidRPr="00412710">
        <w:rPr>
          <w:rFonts w:ascii="Helvetica" w:hAnsi="Helvetica"/>
          <w:sz w:val="24"/>
          <w:szCs w:val="24"/>
        </w:rPr>
        <w:t>2010</w:t>
      </w:r>
      <w:r w:rsidR="00E87A63">
        <w:rPr>
          <w:rFonts w:ascii="Helvetica" w:hAnsi="Helvetica"/>
          <w:sz w:val="24"/>
          <w:szCs w:val="24"/>
        </w:rPr>
        <w:t xml:space="preserve"> </w:t>
      </w:r>
      <w:r w:rsidR="001F5D9B" w:rsidRPr="0015060E">
        <w:rPr>
          <w:rFonts w:ascii="Helvetica" w:hAnsi="Helvetica"/>
          <w:b/>
          <w:i/>
          <w:color w:val="663399"/>
          <w:sz w:val="24"/>
          <w:szCs w:val="24"/>
        </w:rPr>
        <w:t>GhostDigest</w:t>
      </w:r>
      <w:r w:rsidR="00E87A63">
        <w:rPr>
          <w:rFonts w:ascii="Helvetica" w:hAnsi="Helvetica"/>
          <w:sz w:val="24"/>
          <w:szCs w:val="24"/>
        </w:rPr>
        <w:t xml:space="preserve"> </w:t>
      </w:r>
      <w:r w:rsidR="00412710" w:rsidRPr="00412710">
        <w:rPr>
          <w:rFonts w:ascii="Helvetica" w:hAnsi="Helvetica"/>
          <w:sz w:val="24"/>
          <w:szCs w:val="24"/>
        </w:rPr>
        <w:t>Conveyancing Survey</w:t>
      </w:r>
    </w:p>
    <w:p w:rsidR="009A161C" w:rsidRDefault="004642C4" w:rsidP="009A161C">
      <w:r>
        <w:t>Thank you for participating in a</w:t>
      </w:r>
      <w:r w:rsidR="009A161C" w:rsidRPr="009A161C">
        <w:t xml:space="preserve"> hugely successful survey in which over 980 responses were received.  </w:t>
      </w:r>
      <w:r>
        <w:t>W</w:t>
      </w:r>
      <w:r w:rsidR="009A161C" w:rsidRPr="009A161C">
        <w:t xml:space="preserve">e hope very much that you will find the results as interesting and illuminating as we have.   Before we turn to the analysis of the results, a quick note on the methodology we used to filter down the results, and the graphs we chose to present the most accurate picture possible. </w:t>
      </w:r>
    </w:p>
    <w:p w:rsidR="00B33272" w:rsidRPr="009A161C" w:rsidRDefault="00B33272" w:rsidP="009A161C"/>
    <w:p w:rsidR="009A161C" w:rsidRPr="009A161C" w:rsidRDefault="009A161C" w:rsidP="009A161C">
      <w:r w:rsidRPr="009A161C">
        <w:t>Responses were collected and divided into their relevant regions.</w:t>
      </w:r>
    </w:p>
    <w:p w:rsidR="009A161C" w:rsidRPr="009A161C" w:rsidRDefault="009A161C" w:rsidP="009A161C"/>
    <w:p w:rsidR="009A161C" w:rsidRPr="009A161C" w:rsidRDefault="009A161C" w:rsidP="009A161C">
      <w:r w:rsidRPr="009A161C">
        <w:t xml:space="preserve">Then sorted according to their IP Addresses (Survey Monkey, the software which we used to conduct the survey collects the IP Addresses of respondents, we can't know however who you are though)  - those that were the same were highly likely to have come from the same firms, and in fact the high correlation between answers confirmed this fact.  As an interesting aside quite a few of the more suspicious respondents read through the survey and did not answer anything, then re did it, this time answering the questions. </w:t>
      </w:r>
    </w:p>
    <w:p w:rsidR="009A161C" w:rsidRPr="009A161C" w:rsidRDefault="009A161C" w:rsidP="009A161C"/>
    <w:p w:rsidR="009A161C" w:rsidRPr="009A161C" w:rsidRDefault="009A161C" w:rsidP="009A161C">
      <w:r w:rsidRPr="009A161C">
        <w:t>A number of respondents did not respond at all apart from answering the first question, other responses were non-</w:t>
      </w:r>
      <w:proofErr w:type="spellStart"/>
      <w:proofErr w:type="gramStart"/>
      <w:r w:rsidRPr="009A161C">
        <w:t>sensical</w:t>
      </w:r>
      <w:proofErr w:type="spellEnd"/>
      <w:r w:rsidRPr="009A161C">
        <w:t xml:space="preserve"> ,</w:t>
      </w:r>
      <w:proofErr w:type="gramEnd"/>
      <w:r w:rsidRPr="009A161C">
        <w:t xml:space="preserve"> these too were excluded.</w:t>
      </w:r>
      <w:r w:rsidR="00715232">
        <w:t xml:space="preserve">  </w:t>
      </w:r>
      <w:r w:rsidR="00715232" w:rsidRPr="00715232">
        <w:t>We have not reproduced all the answers as some of the questions were not clear enough while others such as the one about Internet Connectivity are pointless (only 19 firms still use a dial up connection).  Unfortunately the question about the Internet Service Providers excluded a few ISPs from the list so it is skew</w:t>
      </w:r>
      <w:r w:rsidR="00715232">
        <w:t>e</w:t>
      </w:r>
      <w:r w:rsidR="00715232" w:rsidRPr="00715232">
        <w:t xml:space="preserve">d in favour of Telkom and Other.  </w:t>
      </w:r>
    </w:p>
    <w:p w:rsidR="009A161C" w:rsidRPr="009A161C" w:rsidRDefault="009A161C" w:rsidP="009A161C"/>
    <w:p w:rsidR="009A161C" w:rsidRPr="009A161C" w:rsidRDefault="009A161C" w:rsidP="009A161C">
      <w:r w:rsidRPr="009A161C">
        <w:t>This left us with lots to work with as the following table</w:t>
      </w:r>
      <w:r w:rsidR="00957B92">
        <w:t>s</w:t>
      </w:r>
      <w:r w:rsidRPr="009A161C">
        <w:t xml:space="preserve"> and graphs below show</w:t>
      </w:r>
      <w:r>
        <w:t>.</w:t>
      </w:r>
    </w:p>
    <w:p w:rsidR="00683895" w:rsidRDefault="00683895"/>
    <w:p w:rsidR="00683895" w:rsidRDefault="00683895"/>
    <w:p w:rsidR="00430797" w:rsidRDefault="00430797"/>
    <w:p w:rsidR="00430797" w:rsidRDefault="00430797"/>
    <w:p w:rsidR="00430797" w:rsidRDefault="00430797"/>
    <w:p w:rsidR="00430797" w:rsidRDefault="00430797"/>
    <w:p w:rsidR="00430797" w:rsidRDefault="00430797"/>
    <w:p w:rsidR="00430797" w:rsidRDefault="00430797"/>
    <w:p w:rsidR="00430797" w:rsidRDefault="00430797"/>
    <w:p w:rsidR="00430797" w:rsidRDefault="00430797">
      <w:pPr>
        <w:rPr>
          <w:b/>
        </w:rPr>
      </w:pPr>
      <w:r>
        <w:rPr>
          <w:b/>
        </w:rPr>
        <w:t>Number of partners in firm</w:t>
      </w:r>
    </w:p>
    <w:p w:rsidR="00430797" w:rsidRPr="00430797" w:rsidRDefault="00430797">
      <w:pPr>
        <w:rPr>
          <w:b/>
        </w:rPr>
      </w:pPr>
    </w:p>
    <w:p w:rsidR="00FB1EE7" w:rsidRDefault="00FB1EE7">
      <w:r>
        <w:rPr>
          <w:noProof/>
          <w:lang w:eastAsia="en-ZA"/>
        </w:rPr>
        <w:lastRenderedPageBreak/>
        <w:drawing>
          <wp:inline distT="0" distB="0" distL="0" distR="0">
            <wp:extent cx="5581650" cy="30194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1EE7" w:rsidRDefault="00FB1EE7"/>
    <w:p w:rsidR="004675EF" w:rsidRDefault="00957B92">
      <w:pPr>
        <w:rPr>
          <w:b/>
        </w:rPr>
      </w:pPr>
      <w:r>
        <w:rPr>
          <w:b/>
        </w:rPr>
        <w:t xml:space="preserve">Postage and </w:t>
      </w:r>
      <w:proofErr w:type="spellStart"/>
      <w:r>
        <w:rPr>
          <w:b/>
        </w:rPr>
        <w:t>Petties</w:t>
      </w:r>
      <w:proofErr w:type="spellEnd"/>
      <w:r>
        <w:rPr>
          <w:b/>
        </w:rPr>
        <w:t xml:space="preserve"> Recovery </w:t>
      </w:r>
    </w:p>
    <w:p w:rsidR="00957B92" w:rsidRDefault="00957B92">
      <w:r>
        <w:t>I have included the data from the survey to better illustrate the graphs.</w:t>
      </w:r>
    </w:p>
    <w:p w:rsidR="00B91E56" w:rsidRPr="00957B92" w:rsidRDefault="00B91E56"/>
    <w:p w:rsidR="00FB1EE7" w:rsidRDefault="00FB1EE7">
      <w:r w:rsidRPr="00FB1EE7">
        <w:drawing>
          <wp:inline distT="0" distB="0" distL="0" distR="0">
            <wp:extent cx="5581650" cy="3467100"/>
            <wp:effectExtent l="19050" t="0" r="19050" b="0"/>
            <wp:docPr id="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5232" w:rsidRDefault="00715232"/>
    <w:tbl>
      <w:tblPr>
        <w:tblStyle w:val="TableGrid"/>
        <w:tblW w:w="7709" w:type="dxa"/>
        <w:tblInd w:w="665" w:type="dxa"/>
        <w:tblLook w:val="04A0"/>
      </w:tblPr>
      <w:tblGrid>
        <w:gridCol w:w="1730"/>
        <w:gridCol w:w="1464"/>
        <w:gridCol w:w="1352"/>
        <w:gridCol w:w="1705"/>
        <w:gridCol w:w="1458"/>
      </w:tblGrid>
      <w:tr w:rsidR="00715232" w:rsidRPr="009A161C" w:rsidTr="00715232">
        <w:trPr>
          <w:trHeight w:val="225"/>
        </w:trPr>
        <w:tc>
          <w:tcPr>
            <w:tcW w:w="7709" w:type="dxa"/>
            <w:gridSpan w:val="5"/>
            <w:noWrap/>
            <w:hideMark/>
          </w:tcPr>
          <w:p w:rsidR="00715232" w:rsidRPr="009A161C" w:rsidRDefault="00715232" w:rsidP="00715232">
            <w:pPr>
              <w:jc w:val="center"/>
              <w:rPr>
                <w:b/>
                <w:bCs/>
              </w:rPr>
            </w:pPr>
            <w:r>
              <w:rPr>
                <w:b/>
                <w:bCs/>
              </w:rPr>
              <w:t xml:space="preserve">Postage and </w:t>
            </w:r>
            <w:proofErr w:type="spellStart"/>
            <w:r>
              <w:rPr>
                <w:b/>
                <w:bCs/>
              </w:rPr>
              <w:t>Petties</w:t>
            </w:r>
            <w:proofErr w:type="spellEnd"/>
            <w:r>
              <w:rPr>
                <w:b/>
                <w:bCs/>
              </w:rPr>
              <w:t xml:space="preserve"> Recovery - Transfers</w:t>
            </w:r>
          </w:p>
        </w:tc>
      </w:tr>
      <w:tr w:rsidR="009A161C" w:rsidRPr="009A161C" w:rsidTr="00715232">
        <w:trPr>
          <w:trHeight w:val="225"/>
        </w:trPr>
        <w:tc>
          <w:tcPr>
            <w:tcW w:w="1730" w:type="dxa"/>
            <w:noWrap/>
            <w:hideMark/>
          </w:tcPr>
          <w:p w:rsidR="009A161C" w:rsidRPr="009A161C" w:rsidRDefault="009A161C">
            <w:pPr>
              <w:rPr>
                <w:b/>
                <w:bCs/>
              </w:rPr>
            </w:pPr>
          </w:p>
        </w:tc>
        <w:tc>
          <w:tcPr>
            <w:tcW w:w="1464" w:type="dxa"/>
          </w:tcPr>
          <w:p w:rsidR="009A161C" w:rsidRPr="009A161C" w:rsidRDefault="009A161C" w:rsidP="00715232">
            <w:pPr>
              <w:rPr>
                <w:b/>
                <w:bCs/>
              </w:rPr>
            </w:pPr>
            <w:r w:rsidRPr="009A161C">
              <w:rPr>
                <w:b/>
                <w:bCs/>
              </w:rPr>
              <w:t>Lower 1/4</w:t>
            </w:r>
          </w:p>
        </w:tc>
        <w:tc>
          <w:tcPr>
            <w:tcW w:w="1352" w:type="dxa"/>
          </w:tcPr>
          <w:p w:rsidR="009A161C" w:rsidRPr="009A161C" w:rsidRDefault="009A161C" w:rsidP="00715232">
            <w:pPr>
              <w:rPr>
                <w:b/>
                <w:bCs/>
              </w:rPr>
            </w:pPr>
            <w:r w:rsidRPr="009A161C">
              <w:rPr>
                <w:b/>
                <w:bCs/>
              </w:rPr>
              <w:t>Median</w:t>
            </w:r>
          </w:p>
        </w:tc>
        <w:tc>
          <w:tcPr>
            <w:tcW w:w="1705" w:type="dxa"/>
            <w:noWrap/>
            <w:hideMark/>
          </w:tcPr>
          <w:p w:rsidR="009A161C" w:rsidRPr="009A161C" w:rsidRDefault="009A161C">
            <w:pPr>
              <w:rPr>
                <w:b/>
                <w:bCs/>
              </w:rPr>
            </w:pPr>
            <w:r w:rsidRPr="009A161C">
              <w:rPr>
                <w:b/>
                <w:bCs/>
              </w:rPr>
              <w:t>Three quarter</w:t>
            </w:r>
          </w:p>
        </w:tc>
        <w:tc>
          <w:tcPr>
            <w:tcW w:w="1458" w:type="dxa"/>
          </w:tcPr>
          <w:p w:rsidR="009A161C" w:rsidRPr="009A161C" w:rsidRDefault="009A161C" w:rsidP="00715232">
            <w:pPr>
              <w:rPr>
                <w:b/>
                <w:bCs/>
              </w:rPr>
            </w:pPr>
            <w:r w:rsidRPr="009A161C">
              <w:rPr>
                <w:b/>
                <w:bCs/>
              </w:rPr>
              <w:t>High</w:t>
            </w:r>
          </w:p>
        </w:tc>
      </w:tr>
      <w:tr w:rsidR="009A161C" w:rsidRPr="009A161C" w:rsidTr="00715232">
        <w:trPr>
          <w:trHeight w:val="225"/>
        </w:trPr>
        <w:tc>
          <w:tcPr>
            <w:tcW w:w="1730" w:type="dxa"/>
            <w:noWrap/>
            <w:hideMark/>
          </w:tcPr>
          <w:p w:rsidR="009A161C" w:rsidRPr="009A161C" w:rsidRDefault="009A161C">
            <w:r w:rsidRPr="009A161C">
              <w:lastRenderedPageBreak/>
              <w:t>National Average</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450</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1000</w:t>
            </w:r>
          </w:p>
        </w:tc>
      </w:tr>
      <w:tr w:rsidR="009A161C" w:rsidRPr="009A161C" w:rsidTr="00715232">
        <w:trPr>
          <w:trHeight w:val="225"/>
        </w:trPr>
        <w:tc>
          <w:tcPr>
            <w:tcW w:w="1730" w:type="dxa"/>
            <w:noWrap/>
            <w:hideMark/>
          </w:tcPr>
          <w:p w:rsidR="009A161C" w:rsidRPr="009A161C" w:rsidRDefault="009A161C">
            <w:r w:rsidRPr="009A161C">
              <w:t>Bloemfontein</w:t>
            </w:r>
          </w:p>
        </w:tc>
        <w:tc>
          <w:tcPr>
            <w:tcW w:w="1464" w:type="dxa"/>
          </w:tcPr>
          <w:p w:rsidR="009A161C" w:rsidRPr="009A161C" w:rsidRDefault="009A161C" w:rsidP="00715232">
            <w:r w:rsidRPr="009A161C">
              <w:t>344</w:t>
            </w:r>
          </w:p>
        </w:tc>
        <w:tc>
          <w:tcPr>
            <w:tcW w:w="1352" w:type="dxa"/>
          </w:tcPr>
          <w:p w:rsidR="009A161C" w:rsidRPr="009A161C" w:rsidRDefault="009A161C" w:rsidP="00715232">
            <w:r w:rsidRPr="009A161C">
              <w:t>350</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800</w:t>
            </w:r>
          </w:p>
        </w:tc>
      </w:tr>
      <w:tr w:rsidR="009A161C" w:rsidRPr="009A161C" w:rsidTr="00715232">
        <w:trPr>
          <w:trHeight w:val="225"/>
        </w:trPr>
        <w:tc>
          <w:tcPr>
            <w:tcW w:w="1730" w:type="dxa"/>
            <w:noWrap/>
            <w:hideMark/>
          </w:tcPr>
          <w:p w:rsidR="009A161C" w:rsidRPr="009A161C" w:rsidRDefault="009A161C">
            <w:r w:rsidRPr="009A161C">
              <w:t>Cape Town</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450</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950</w:t>
            </w:r>
          </w:p>
        </w:tc>
      </w:tr>
      <w:tr w:rsidR="009A161C" w:rsidRPr="009A161C" w:rsidTr="00715232">
        <w:trPr>
          <w:trHeight w:val="225"/>
        </w:trPr>
        <w:tc>
          <w:tcPr>
            <w:tcW w:w="1730" w:type="dxa"/>
            <w:noWrap/>
            <w:hideMark/>
          </w:tcPr>
          <w:p w:rsidR="009A161C" w:rsidRPr="009A161C" w:rsidRDefault="009A161C">
            <w:r w:rsidRPr="009A161C">
              <w:t>Durban</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400</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800</w:t>
            </w:r>
          </w:p>
        </w:tc>
      </w:tr>
      <w:tr w:rsidR="009A161C" w:rsidRPr="009A161C" w:rsidTr="00715232">
        <w:trPr>
          <w:trHeight w:val="225"/>
        </w:trPr>
        <w:tc>
          <w:tcPr>
            <w:tcW w:w="1730" w:type="dxa"/>
            <w:noWrap/>
            <w:hideMark/>
          </w:tcPr>
          <w:p w:rsidR="009A161C" w:rsidRPr="009A161C" w:rsidRDefault="009A161C">
            <w:proofErr w:type="spellStart"/>
            <w:r w:rsidRPr="009A161C">
              <w:t>Jhb</w:t>
            </w:r>
            <w:proofErr w:type="spellEnd"/>
            <w:r w:rsidRPr="009A161C">
              <w:t xml:space="preserve"> - East</w:t>
            </w:r>
          </w:p>
        </w:tc>
        <w:tc>
          <w:tcPr>
            <w:tcW w:w="1464" w:type="dxa"/>
          </w:tcPr>
          <w:p w:rsidR="009A161C" w:rsidRPr="009A161C" w:rsidRDefault="009A161C" w:rsidP="00715232">
            <w:r w:rsidRPr="009A161C">
              <w:t>400</w:t>
            </w:r>
          </w:p>
        </w:tc>
        <w:tc>
          <w:tcPr>
            <w:tcW w:w="1352" w:type="dxa"/>
          </w:tcPr>
          <w:p w:rsidR="009A161C" w:rsidRPr="009A161C" w:rsidRDefault="009A161C" w:rsidP="00715232">
            <w:r w:rsidRPr="009A161C">
              <w:t>450</w:t>
            </w:r>
          </w:p>
        </w:tc>
        <w:tc>
          <w:tcPr>
            <w:tcW w:w="1705" w:type="dxa"/>
            <w:noWrap/>
            <w:hideMark/>
          </w:tcPr>
          <w:p w:rsidR="009A161C" w:rsidRPr="009A161C" w:rsidRDefault="009A161C" w:rsidP="009A161C">
            <w:r w:rsidRPr="009A161C">
              <w:t>495</w:t>
            </w:r>
          </w:p>
        </w:tc>
        <w:tc>
          <w:tcPr>
            <w:tcW w:w="1458" w:type="dxa"/>
          </w:tcPr>
          <w:p w:rsidR="009A161C" w:rsidRPr="009A161C" w:rsidRDefault="009A161C" w:rsidP="00715232">
            <w:r w:rsidRPr="009A161C">
              <w:t>550</w:t>
            </w:r>
          </w:p>
        </w:tc>
      </w:tr>
      <w:tr w:rsidR="009A161C" w:rsidRPr="009A161C" w:rsidTr="00715232">
        <w:trPr>
          <w:trHeight w:val="225"/>
        </w:trPr>
        <w:tc>
          <w:tcPr>
            <w:tcW w:w="1730" w:type="dxa"/>
            <w:noWrap/>
            <w:hideMark/>
          </w:tcPr>
          <w:p w:rsidR="009A161C" w:rsidRPr="009A161C" w:rsidRDefault="009A161C">
            <w:proofErr w:type="spellStart"/>
            <w:r w:rsidRPr="009A161C">
              <w:t>Jhb</w:t>
            </w:r>
            <w:proofErr w:type="spellEnd"/>
            <w:r w:rsidRPr="009A161C">
              <w:t xml:space="preserve"> - </w:t>
            </w:r>
            <w:proofErr w:type="spellStart"/>
            <w:r w:rsidRPr="009A161C">
              <w:t>Sandton</w:t>
            </w:r>
            <w:proofErr w:type="spellEnd"/>
          </w:p>
        </w:tc>
        <w:tc>
          <w:tcPr>
            <w:tcW w:w="1464" w:type="dxa"/>
          </w:tcPr>
          <w:p w:rsidR="009A161C" w:rsidRPr="009A161C" w:rsidRDefault="009A161C" w:rsidP="00715232">
            <w:r w:rsidRPr="009A161C">
              <w:t>450</w:t>
            </w:r>
          </w:p>
        </w:tc>
        <w:tc>
          <w:tcPr>
            <w:tcW w:w="1352" w:type="dxa"/>
          </w:tcPr>
          <w:p w:rsidR="009A161C" w:rsidRPr="009A161C" w:rsidRDefault="009A161C" w:rsidP="00715232">
            <w:r w:rsidRPr="009A161C">
              <w:t>500</w:t>
            </w:r>
          </w:p>
        </w:tc>
        <w:tc>
          <w:tcPr>
            <w:tcW w:w="1705" w:type="dxa"/>
            <w:noWrap/>
            <w:hideMark/>
          </w:tcPr>
          <w:p w:rsidR="009A161C" w:rsidRPr="009A161C" w:rsidRDefault="009A161C" w:rsidP="009A161C">
            <w:r w:rsidRPr="009A161C">
              <w:t>550</w:t>
            </w:r>
          </w:p>
        </w:tc>
        <w:tc>
          <w:tcPr>
            <w:tcW w:w="1458" w:type="dxa"/>
          </w:tcPr>
          <w:p w:rsidR="009A161C" w:rsidRPr="009A161C" w:rsidRDefault="009A161C" w:rsidP="00715232">
            <w:r w:rsidRPr="009A161C">
              <w:t>900</w:t>
            </w:r>
          </w:p>
        </w:tc>
      </w:tr>
      <w:tr w:rsidR="009A161C" w:rsidRPr="009A161C" w:rsidTr="00715232">
        <w:trPr>
          <w:trHeight w:val="225"/>
        </w:trPr>
        <w:tc>
          <w:tcPr>
            <w:tcW w:w="1730" w:type="dxa"/>
            <w:noWrap/>
            <w:hideMark/>
          </w:tcPr>
          <w:p w:rsidR="009A161C" w:rsidRPr="009A161C" w:rsidRDefault="009A161C">
            <w:proofErr w:type="spellStart"/>
            <w:r w:rsidRPr="009A161C">
              <w:t>Jhb</w:t>
            </w:r>
            <w:proofErr w:type="spellEnd"/>
            <w:r w:rsidRPr="009A161C">
              <w:t xml:space="preserve"> - South</w:t>
            </w:r>
          </w:p>
        </w:tc>
        <w:tc>
          <w:tcPr>
            <w:tcW w:w="1464" w:type="dxa"/>
          </w:tcPr>
          <w:p w:rsidR="009A161C" w:rsidRPr="009A161C" w:rsidRDefault="009A161C" w:rsidP="00715232">
            <w:r w:rsidRPr="009A161C">
              <w:t>425</w:t>
            </w:r>
          </w:p>
        </w:tc>
        <w:tc>
          <w:tcPr>
            <w:tcW w:w="1352" w:type="dxa"/>
          </w:tcPr>
          <w:p w:rsidR="009A161C" w:rsidRPr="009A161C" w:rsidRDefault="009A161C" w:rsidP="00715232">
            <w:r w:rsidRPr="009A161C">
              <w:t>500</w:t>
            </w:r>
          </w:p>
        </w:tc>
        <w:tc>
          <w:tcPr>
            <w:tcW w:w="1705" w:type="dxa"/>
            <w:noWrap/>
            <w:hideMark/>
          </w:tcPr>
          <w:p w:rsidR="009A161C" w:rsidRPr="009A161C" w:rsidRDefault="009A161C" w:rsidP="009A161C">
            <w:r w:rsidRPr="009A161C">
              <w:t>525</w:t>
            </w:r>
          </w:p>
        </w:tc>
        <w:tc>
          <w:tcPr>
            <w:tcW w:w="1458" w:type="dxa"/>
          </w:tcPr>
          <w:p w:rsidR="009A161C" w:rsidRPr="009A161C" w:rsidRDefault="009A161C" w:rsidP="00715232">
            <w:r w:rsidRPr="009A161C">
              <w:t>750</w:t>
            </w:r>
          </w:p>
        </w:tc>
      </w:tr>
      <w:tr w:rsidR="009A161C" w:rsidRPr="009A161C" w:rsidTr="00715232">
        <w:trPr>
          <w:trHeight w:val="225"/>
        </w:trPr>
        <w:tc>
          <w:tcPr>
            <w:tcW w:w="1730" w:type="dxa"/>
            <w:noWrap/>
            <w:hideMark/>
          </w:tcPr>
          <w:p w:rsidR="009A161C" w:rsidRPr="009A161C" w:rsidRDefault="009A161C">
            <w:proofErr w:type="spellStart"/>
            <w:r w:rsidRPr="009A161C">
              <w:t>Jhb</w:t>
            </w:r>
            <w:proofErr w:type="spellEnd"/>
            <w:r w:rsidRPr="009A161C">
              <w:t xml:space="preserve"> - West</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475</w:t>
            </w:r>
          </w:p>
        </w:tc>
        <w:tc>
          <w:tcPr>
            <w:tcW w:w="1705" w:type="dxa"/>
            <w:noWrap/>
            <w:hideMark/>
          </w:tcPr>
          <w:p w:rsidR="009A161C" w:rsidRPr="009A161C" w:rsidRDefault="009A161C" w:rsidP="009A161C">
            <w:r w:rsidRPr="009A161C">
              <w:t>550</w:t>
            </w:r>
          </w:p>
        </w:tc>
        <w:tc>
          <w:tcPr>
            <w:tcW w:w="1458" w:type="dxa"/>
          </w:tcPr>
          <w:p w:rsidR="009A161C" w:rsidRPr="009A161C" w:rsidRDefault="009A161C" w:rsidP="00715232">
            <w:r w:rsidRPr="009A161C">
              <w:t>750</w:t>
            </w:r>
          </w:p>
        </w:tc>
      </w:tr>
      <w:tr w:rsidR="009A161C" w:rsidRPr="009A161C" w:rsidTr="00715232">
        <w:trPr>
          <w:trHeight w:val="225"/>
        </w:trPr>
        <w:tc>
          <w:tcPr>
            <w:tcW w:w="1730" w:type="dxa"/>
            <w:noWrap/>
            <w:hideMark/>
          </w:tcPr>
          <w:p w:rsidR="009A161C" w:rsidRPr="009A161C" w:rsidRDefault="009A161C">
            <w:proofErr w:type="spellStart"/>
            <w:r w:rsidRPr="009A161C">
              <w:t>Neslspruit</w:t>
            </w:r>
            <w:proofErr w:type="spellEnd"/>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450</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850</w:t>
            </w:r>
          </w:p>
        </w:tc>
      </w:tr>
      <w:tr w:rsidR="009A161C" w:rsidRPr="009A161C" w:rsidTr="00715232">
        <w:trPr>
          <w:trHeight w:val="225"/>
        </w:trPr>
        <w:tc>
          <w:tcPr>
            <w:tcW w:w="1730" w:type="dxa"/>
            <w:noWrap/>
            <w:hideMark/>
          </w:tcPr>
          <w:p w:rsidR="009A161C" w:rsidRPr="009A161C" w:rsidRDefault="009A161C">
            <w:r w:rsidRPr="009A161C">
              <w:t>PE/EL</w:t>
            </w:r>
          </w:p>
        </w:tc>
        <w:tc>
          <w:tcPr>
            <w:tcW w:w="1464" w:type="dxa"/>
          </w:tcPr>
          <w:p w:rsidR="009A161C" w:rsidRPr="009A161C" w:rsidRDefault="009A161C" w:rsidP="00715232">
            <w:r w:rsidRPr="009A161C">
              <w:t>288</w:t>
            </w:r>
          </w:p>
        </w:tc>
        <w:tc>
          <w:tcPr>
            <w:tcW w:w="1352" w:type="dxa"/>
          </w:tcPr>
          <w:p w:rsidR="009A161C" w:rsidRPr="009A161C" w:rsidRDefault="009A161C" w:rsidP="00715232">
            <w:r w:rsidRPr="009A161C">
              <w:t>400</w:t>
            </w:r>
          </w:p>
        </w:tc>
        <w:tc>
          <w:tcPr>
            <w:tcW w:w="1705" w:type="dxa"/>
            <w:noWrap/>
            <w:hideMark/>
          </w:tcPr>
          <w:p w:rsidR="009A161C" w:rsidRPr="009A161C" w:rsidRDefault="009A161C" w:rsidP="009A161C">
            <w:r w:rsidRPr="009A161C">
              <w:t>470</w:t>
            </w:r>
          </w:p>
        </w:tc>
        <w:tc>
          <w:tcPr>
            <w:tcW w:w="1458" w:type="dxa"/>
          </w:tcPr>
          <w:p w:rsidR="009A161C" w:rsidRPr="009A161C" w:rsidRDefault="009A161C" w:rsidP="00715232">
            <w:r w:rsidRPr="009A161C">
              <w:t>670</w:t>
            </w:r>
          </w:p>
        </w:tc>
      </w:tr>
      <w:tr w:rsidR="009A161C" w:rsidRPr="009A161C" w:rsidTr="00715232">
        <w:trPr>
          <w:trHeight w:val="225"/>
        </w:trPr>
        <w:tc>
          <w:tcPr>
            <w:tcW w:w="1730" w:type="dxa"/>
            <w:noWrap/>
            <w:hideMark/>
          </w:tcPr>
          <w:p w:rsidR="009A161C" w:rsidRPr="009A161C" w:rsidRDefault="009A161C">
            <w:r w:rsidRPr="009A161C">
              <w:t>Pietermaritzburg</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350</w:t>
            </w:r>
          </w:p>
        </w:tc>
        <w:tc>
          <w:tcPr>
            <w:tcW w:w="1705" w:type="dxa"/>
            <w:noWrap/>
            <w:hideMark/>
          </w:tcPr>
          <w:p w:rsidR="009A161C" w:rsidRPr="009A161C" w:rsidRDefault="009A161C" w:rsidP="009A161C">
            <w:r w:rsidRPr="009A161C">
              <w:t>400</w:t>
            </w:r>
          </w:p>
        </w:tc>
        <w:tc>
          <w:tcPr>
            <w:tcW w:w="1458" w:type="dxa"/>
          </w:tcPr>
          <w:p w:rsidR="009A161C" w:rsidRPr="009A161C" w:rsidRDefault="009A161C" w:rsidP="00715232">
            <w:r w:rsidRPr="009A161C">
              <w:t>500</w:t>
            </w:r>
          </w:p>
        </w:tc>
      </w:tr>
      <w:tr w:rsidR="009A161C" w:rsidRPr="009A161C" w:rsidTr="00715232">
        <w:trPr>
          <w:trHeight w:val="225"/>
        </w:trPr>
        <w:tc>
          <w:tcPr>
            <w:tcW w:w="1730" w:type="dxa"/>
            <w:noWrap/>
            <w:hideMark/>
          </w:tcPr>
          <w:p w:rsidR="009A161C" w:rsidRPr="009A161C" w:rsidRDefault="009A161C">
            <w:proofErr w:type="spellStart"/>
            <w:r w:rsidRPr="009A161C">
              <w:t>Polokwane</w:t>
            </w:r>
            <w:proofErr w:type="spellEnd"/>
          </w:p>
        </w:tc>
        <w:tc>
          <w:tcPr>
            <w:tcW w:w="1464" w:type="dxa"/>
          </w:tcPr>
          <w:p w:rsidR="009A161C" w:rsidRPr="009A161C" w:rsidRDefault="009A161C" w:rsidP="00715232">
            <w:r w:rsidRPr="009A161C">
              <w:t>450</w:t>
            </w:r>
          </w:p>
        </w:tc>
        <w:tc>
          <w:tcPr>
            <w:tcW w:w="1352" w:type="dxa"/>
          </w:tcPr>
          <w:p w:rsidR="009A161C" w:rsidRPr="009A161C" w:rsidRDefault="009A161C" w:rsidP="00715232">
            <w:r w:rsidRPr="009A161C">
              <w:t>475</w:t>
            </w:r>
          </w:p>
        </w:tc>
        <w:tc>
          <w:tcPr>
            <w:tcW w:w="1705" w:type="dxa"/>
            <w:noWrap/>
            <w:hideMark/>
          </w:tcPr>
          <w:p w:rsidR="009A161C" w:rsidRPr="009A161C" w:rsidRDefault="009A161C" w:rsidP="009A161C">
            <w:r w:rsidRPr="009A161C">
              <w:t>575</w:t>
            </w:r>
          </w:p>
        </w:tc>
        <w:tc>
          <w:tcPr>
            <w:tcW w:w="1458" w:type="dxa"/>
          </w:tcPr>
          <w:p w:rsidR="009A161C" w:rsidRPr="009A161C" w:rsidRDefault="009A161C" w:rsidP="00715232">
            <w:r w:rsidRPr="009A161C">
              <w:t>650</w:t>
            </w:r>
          </w:p>
        </w:tc>
      </w:tr>
      <w:tr w:rsidR="009A161C" w:rsidRPr="009A161C" w:rsidTr="00715232">
        <w:trPr>
          <w:trHeight w:val="225"/>
        </w:trPr>
        <w:tc>
          <w:tcPr>
            <w:tcW w:w="1730" w:type="dxa"/>
            <w:noWrap/>
            <w:hideMark/>
          </w:tcPr>
          <w:p w:rsidR="009A161C" w:rsidRPr="009A161C" w:rsidRDefault="009A161C">
            <w:r w:rsidRPr="009A161C">
              <w:t>Potchefstroom</w:t>
            </w:r>
          </w:p>
        </w:tc>
        <w:tc>
          <w:tcPr>
            <w:tcW w:w="1464" w:type="dxa"/>
          </w:tcPr>
          <w:p w:rsidR="009A161C" w:rsidRPr="009A161C" w:rsidRDefault="009A161C" w:rsidP="00715232">
            <w:r w:rsidRPr="009A161C">
              <w:t>350</w:t>
            </w:r>
          </w:p>
        </w:tc>
        <w:tc>
          <w:tcPr>
            <w:tcW w:w="1352" w:type="dxa"/>
          </w:tcPr>
          <w:p w:rsidR="009A161C" w:rsidRPr="009A161C" w:rsidRDefault="009A161C" w:rsidP="00715232">
            <w:r w:rsidRPr="009A161C">
              <w:t>485</w:t>
            </w:r>
          </w:p>
        </w:tc>
        <w:tc>
          <w:tcPr>
            <w:tcW w:w="1705" w:type="dxa"/>
            <w:noWrap/>
            <w:hideMark/>
          </w:tcPr>
          <w:p w:rsidR="009A161C" w:rsidRPr="009A161C" w:rsidRDefault="009A161C" w:rsidP="009A161C">
            <w:r w:rsidRPr="009A161C">
              <w:t>500</w:t>
            </w:r>
          </w:p>
        </w:tc>
        <w:tc>
          <w:tcPr>
            <w:tcW w:w="1458" w:type="dxa"/>
          </w:tcPr>
          <w:p w:rsidR="009A161C" w:rsidRPr="009A161C" w:rsidRDefault="009A161C" w:rsidP="00715232">
            <w:r w:rsidRPr="009A161C">
              <w:t>550</w:t>
            </w:r>
          </w:p>
        </w:tc>
      </w:tr>
      <w:tr w:rsidR="009A161C" w:rsidRPr="009A161C" w:rsidTr="00715232">
        <w:trPr>
          <w:trHeight w:val="225"/>
        </w:trPr>
        <w:tc>
          <w:tcPr>
            <w:tcW w:w="1730" w:type="dxa"/>
            <w:noWrap/>
            <w:hideMark/>
          </w:tcPr>
          <w:p w:rsidR="009A161C" w:rsidRPr="009A161C" w:rsidRDefault="009A161C">
            <w:r w:rsidRPr="009A161C">
              <w:t>Pretoria</w:t>
            </w:r>
          </w:p>
        </w:tc>
        <w:tc>
          <w:tcPr>
            <w:tcW w:w="1464" w:type="dxa"/>
          </w:tcPr>
          <w:p w:rsidR="009A161C" w:rsidRPr="009A161C" w:rsidRDefault="009A161C" w:rsidP="00715232">
            <w:r w:rsidRPr="009A161C">
              <w:t>400</w:t>
            </w:r>
          </w:p>
        </w:tc>
        <w:tc>
          <w:tcPr>
            <w:tcW w:w="1352" w:type="dxa"/>
          </w:tcPr>
          <w:p w:rsidR="009A161C" w:rsidRPr="009A161C" w:rsidRDefault="009A161C" w:rsidP="00715232">
            <w:r w:rsidRPr="009A161C">
              <w:t>500</w:t>
            </w:r>
          </w:p>
        </w:tc>
        <w:tc>
          <w:tcPr>
            <w:tcW w:w="1705" w:type="dxa"/>
            <w:noWrap/>
            <w:hideMark/>
          </w:tcPr>
          <w:p w:rsidR="009A161C" w:rsidRPr="009A161C" w:rsidRDefault="009A161C" w:rsidP="009A161C">
            <w:r w:rsidRPr="009A161C">
              <w:t>638</w:t>
            </w:r>
          </w:p>
        </w:tc>
        <w:tc>
          <w:tcPr>
            <w:tcW w:w="1458" w:type="dxa"/>
          </w:tcPr>
          <w:p w:rsidR="009A161C" w:rsidRPr="009A161C" w:rsidRDefault="009A161C" w:rsidP="00715232">
            <w:r w:rsidRPr="009A161C">
              <w:t>1000</w:t>
            </w:r>
          </w:p>
        </w:tc>
      </w:tr>
    </w:tbl>
    <w:p w:rsidR="009A161C" w:rsidRDefault="009A161C"/>
    <w:p w:rsidR="00FB1EE7" w:rsidRDefault="00FB1EE7"/>
    <w:p w:rsidR="00FB1EE7" w:rsidRDefault="00FB1EE7">
      <w:r w:rsidRPr="00FB1EE7">
        <w:drawing>
          <wp:inline distT="0" distB="0" distL="0" distR="0">
            <wp:extent cx="5572125" cy="2962275"/>
            <wp:effectExtent l="19050" t="0" r="9525" b="0"/>
            <wp:docPr id="3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1EE7" w:rsidRDefault="00FB1EE7"/>
    <w:tbl>
      <w:tblPr>
        <w:tblStyle w:val="TableGrid"/>
        <w:tblW w:w="7709" w:type="dxa"/>
        <w:tblInd w:w="665" w:type="dxa"/>
        <w:tblLook w:val="04A0"/>
      </w:tblPr>
      <w:tblGrid>
        <w:gridCol w:w="1730"/>
        <w:gridCol w:w="1464"/>
        <w:gridCol w:w="1352"/>
        <w:gridCol w:w="1705"/>
        <w:gridCol w:w="1458"/>
      </w:tblGrid>
      <w:tr w:rsidR="00AA4D73" w:rsidRPr="009A161C" w:rsidTr="00B91E56">
        <w:trPr>
          <w:trHeight w:val="225"/>
        </w:trPr>
        <w:tc>
          <w:tcPr>
            <w:tcW w:w="7709" w:type="dxa"/>
            <w:gridSpan w:val="5"/>
            <w:noWrap/>
            <w:hideMark/>
          </w:tcPr>
          <w:p w:rsidR="00AA4D73" w:rsidRPr="009A161C" w:rsidRDefault="00AA4D73" w:rsidP="00AA4D73">
            <w:pPr>
              <w:jc w:val="center"/>
              <w:rPr>
                <w:b/>
                <w:bCs/>
              </w:rPr>
            </w:pPr>
            <w:r>
              <w:rPr>
                <w:b/>
                <w:bCs/>
              </w:rPr>
              <w:t xml:space="preserve">Postage and </w:t>
            </w:r>
            <w:proofErr w:type="spellStart"/>
            <w:r>
              <w:rPr>
                <w:b/>
                <w:bCs/>
              </w:rPr>
              <w:t>Petties</w:t>
            </w:r>
            <w:proofErr w:type="spellEnd"/>
            <w:r>
              <w:rPr>
                <w:b/>
                <w:bCs/>
              </w:rPr>
              <w:t xml:space="preserve"> Recovery - Bonds</w:t>
            </w:r>
          </w:p>
        </w:tc>
      </w:tr>
      <w:tr w:rsidR="00AA4D73" w:rsidRPr="009A161C" w:rsidTr="00B91E56">
        <w:trPr>
          <w:trHeight w:val="225"/>
        </w:trPr>
        <w:tc>
          <w:tcPr>
            <w:tcW w:w="1730" w:type="dxa"/>
            <w:noWrap/>
            <w:hideMark/>
          </w:tcPr>
          <w:p w:rsidR="00AA4D73" w:rsidRPr="009A161C" w:rsidRDefault="00AA4D73" w:rsidP="00B91E56">
            <w:pPr>
              <w:rPr>
                <w:b/>
                <w:bCs/>
              </w:rPr>
            </w:pPr>
          </w:p>
        </w:tc>
        <w:tc>
          <w:tcPr>
            <w:tcW w:w="1464" w:type="dxa"/>
          </w:tcPr>
          <w:p w:rsidR="00AA4D73" w:rsidRPr="009A161C" w:rsidRDefault="00AA4D73" w:rsidP="00B91E56">
            <w:pPr>
              <w:rPr>
                <w:b/>
                <w:bCs/>
              </w:rPr>
            </w:pPr>
            <w:r w:rsidRPr="009A161C">
              <w:rPr>
                <w:b/>
                <w:bCs/>
              </w:rPr>
              <w:t>Lower 1/4</w:t>
            </w:r>
          </w:p>
        </w:tc>
        <w:tc>
          <w:tcPr>
            <w:tcW w:w="1352" w:type="dxa"/>
          </w:tcPr>
          <w:p w:rsidR="00AA4D73" w:rsidRPr="009A161C" w:rsidRDefault="00AA4D73" w:rsidP="00B91E56">
            <w:pPr>
              <w:rPr>
                <w:b/>
                <w:bCs/>
              </w:rPr>
            </w:pPr>
            <w:r w:rsidRPr="009A161C">
              <w:rPr>
                <w:b/>
                <w:bCs/>
              </w:rPr>
              <w:t>Median</w:t>
            </w:r>
          </w:p>
        </w:tc>
        <w:tc>
          <w:tcPr>
            <w:tcW w:w="1705" w:type="dxa"/>
            <w:noWrap/>
            <w:hideMark/>
          </w:tcPr>
          <w:p w:rsidR="00AA4D73" w:rsidRPr="009A161C" w:rsidRDefault="00AA4D73" w:rsidP="00B91E56">
            <w:pPr>
              <w:rPr>
                <w:b/>
                <w:bCs/>
              </w:rPr>
            </w:pPr>
            <w:r w:rsidRPr="009A161C">
              <w:rPr>
                <w:b/>
                <w:bCs/>
              </w:rPr>
              <w:t>Three quarter</w:t>
            </w:r>
          </w:p>
        </w:tc>
        <w:tc>
          <w:tcPr>
            <w:tcW w:w="1458" w:type="dxa"/>
          </w:tcPr>
          <w:p w:rsidR="00AA4D73" w:rsidRPr="009A161C" w:rsidRDefault="00AA4D73" w:rsidP="00B91E56">
            <w:pPr>
              <w:rPr>
                <w:b/>
                <w:bCs/>
              </w:rPr>
            </w:pPr>
            <w:r w:rsidRPr="009A161C">
              <w:rPr>
                <w:b/>
                <w:bCs/>
              </w:rPr>
              <w:t>High</w:t>
            </w:r>
          </w:p>
        </w:tc>
      </w:tr>
      <w:tr w:rsidR="00AA4D73" w:rsidRPr="009A161C" w:rsidTr="00B91E56">
        <w:trPr>
          <w:trHeight w:val="225"/>
        </w:trPr>
        <w:tc>
          <w:tcPr>
            <w:tcW w:w="1730" w:type="dxa"/>
            <w:noWrap/>
            <w:hideMark/>
          </w:tcPr>
          <w:p w:rsidR="00AA4D73" w:rsidRPr="009A161C" w:rsidRDefault="00AA4D73" w:rsidP="00B91E56">
            <w:r w:rsidRPr="009A161C">
              <w:t>National Average</w:t>
            </w:r>
          </w:p>
        </w:tc>
        <w:tc>
          <w:tcPr>
            <w:tcW w:w="1464" w:type="dxa"/>
            <w:vAlign w:val="bottom"/>
          </w:tcPr>
          <w:p w:rsidR="00AA4D73" w:rsidRPr="00AA4D73" w:rsidRDefault="00AA4D73">
            <w:pPr>
              <w:jc w:val="right"/>
            </w:pPr>
            <w:r w:rsidRPr="00AA4D73">
              <w:t>350</w:t>
            </w:r>
          </w:p>
        </w:tc>
        <w:tc>
          <w:tcPr>
            <w:tcW w:w="1352" w:type="dxa"/>
            <w:vAlign w:val="bottom"/>
          </w:tcPr>
          <w:p w:rsidR="00AA4D73" w:rsidRPr="00AA4D73" w:rsidRDefault="00AA4D73">
            <w:pPr>
              <w:jc w:val="right"/>
            </w:pPr>
            <w:r w:rsidRPr="00AA4D73">
              <w:t>400</w:t>
            </w:r>
          </w:p>
        </w:tc>
        <w:tc>
          <w:tcPr>
            <w:tcW w:w="1705" w:type="dxa"/>
            <w:noWrap/>
            <w:vAlign w:val="bottom"/>
            <w:hideMark/>
          </w:tcPr>
          <w:p w:rsidR="00AA4D73" w:rsidRPr="00AA4D73" w:rsidRDefault="00AA4D73">
            <w:pPr>
              <w:jc w:val="right"/>
            </w:pPr>
            <w:r w:rsidRPr="00AA4D73">
              <w:t>500</w:t>
            </w:r>
          </w:p>
        </w:tc>
        <w:tc>
          <w:tcPr>
            <w:tcW w:w="1458" w:type="dxa"/>
            <w:vAlign w:val="bottom"/>
          </w:tcPr>
          <w:p w:rsidR="00AA4D73" w:rsidRPr="00AA4D73" w:rsidRDefault="00AA4D73">
            <w:pPr>
              <w:jc w:val="right"/>
            </w:pPr>
            <w:r w:rsidRPr="00AA4D73">
              <w:t>1000</w:t>
            </w:r>
          </w:p>
        </w:tc>
      </w:tr>
      <w:tr w:rsidR="00AA4D73" w:rsidRPr="009A161C" w:rsidTr="00B91E56">
        <w:trPr>
          <w:trHeight w:val="225"/>
        </w:trPr>
        <w:tc>
          <w:tcPr>
            <w:tcW w:w="1730" w:type="dxa"/>
            <w:noWrap/>
            <w:hideMark/>
          </w:tcPr>
          <w:p w:rsidR="00AA4D73" w:rsidRPr="009A161C" w:rsidRDefault="00AA4D73" w:rsidP="00B91E56">
            <w:r w:rsidRPr="009A161C">
              <w:t>Bloemfontein</w:t>
            </w:r>
          </w:p>
        </w:tc>
        <w:tc>
          <w:tcPr>
            <w:tcW w:w="1464" w:type="dxa"/>
            <w:vAlign w:val="bottom"/>
          </w:tcPr>
          <w:p w:rsidR="00AA4D73" w:rsidRPr="00AA4D73" w:rsidRDefault="00AA4D73">
            <w:pPr>
              <w:jc w:val="right"/>
            </w:pPr>
            <w:r w:rsidRPr="00AA4D73">
              <w:t>300</w:t>
            </w:r>
          </w:p>
        </w:tc>
        <w:tc>
          <w:tcPr>
            <w:tcW w:w="1352" w:type="dxa"/>
            <w:vAlign w:val="bottom"/>
          </w:tcPr>
          <w:p w:rsidR="00AA4D73" w:rsidRPr="00AA4D73" w:rsidRDefault="00AA4D73">
            <w:pPr>
              <w:jc w:val="right"/>
            </w:pPr>
            <w:r w:rsidRPr="00AA4D73">
              <w:t>350</w:t>
            </w:r>
          </w:p>
        </w:tc>
        <w:tc>
          <w:tcPr>
            <w:tcW w:w="1705" w:type="dxa"/>
            <w:noWrap/>
            <w:vAlign w:val="bottom"/>
            <w:hideMark/>
          </w:tcPr>
          <w:p w:rsidR="00AA4D73" w:rsidRPr="00AA4D73" w:rsidRDefault="00AA4D73">
            <w:pPr>
              <w:jc w:val="right"/>
            </w:pPr>
            <w:r w:rsidRPr="00AA4D73">
              <w:t>500</w:t>
            </w:r>
          </w:p>
        </w:tc>
        <w:tc>
          <w:tcPr>
            <w:tcW w:w="1458" w:type="dxa"/>
            <w:vAlign w:val="bottom"/>
          </w:tcPr>
          <w:p w:rsidR="00AA4D73" w:rsidRPr="00AA4D73" w:rsidRDefault="00AA4D73">
            <w:pPr>
              <w:jc w:val="right"/>
            </w:pPr>
            <w:r w:rsidRPr="00AA4D73">
              <w:t>800</w:t>
            </w:r>
          </w:p>
        </w:tc>
      </w:tr>
      <w:tr w:rsidR="00AA4D73" w:rsidRPr="009A161C" w:rsidTr="00B91E56">
        <w:trPr>
          <w:trHeight w:val="225"/>
        </w:trPr>
        <w:tc>
          <w:tcPr>
            <w:tcW w:w="1730" w:type="dxa"/>
            <w:noWrap/>
            <w:hideMark/>
          </w:tcPr>
          <w:p w:rsidR="00AA4D73" w:rsidRPr="009A161C" w:rsidRDefault="00AA4D73" w:rsidP="00B91E56">
            <w:r w:rsidRPr="009A161C">
              <w:t>Cape Town</w:t>
            </w:r>
          </w:p>
        </w:tc>
        <w:tc>
          <w:tcPr>
            <w:tcW w:w="1464" w:type="dxa"/>
            <w:vAlign w:val="bottom"/>
          </w:tcPr>
          <w:p w:rsidR="00AA4D73" w:rsidRPr="00AA4D73" w:rsidRDefault="00AA4D73">
            <w:pPr>
              <w:jc w:val="right"/>
            </w:pPr>
            <w:r w:rsidRPr="00AA4D73">
              <w:t>350</w:t>
            </w:r>
          </w:p>
        </w:tc>
        <w:tc>
          <w:tcPr>
            <w:tcW w:w="1352" w:type="dxa"/>
            <w:vAlign w:val="bottom"/>
          </w:tcPr>
          <w:p w:rsidR="00AA4D73" w:rsidRPr="00AA4D73" w:rsidRDefault="00AA4D73">
            <w:pPr>
              <w:jc w:val="right"/>
            </w:pPr>
            <w:r w:rsidRPr="00AA4D73">
              <w:t>400</w:t>
            </w:r>
          </w:p>
        </w:tc>
        <w:tc>
          <w:tcPr>
            <w:tcW w:w="1705" w:type="dxa"/>
            <w:noWrap/>
            <w:vAlign w:val="bottom"/>
            <w:hideMark/>
          </w:tcPr>
          <w:p w:rsidR="00AA4D73" w:rsidRPr="00AA4D73" w:rsidRDefault="00AA4D73">
            <w:pPr>
              <w:jc w:val="right"/>
            </w:pPr>
            <w:r w:rsidRPr="00AA4D73">
              <w:t>450</w:t>
            </w:r>
          </w:p>
        </w:tc>
        <w:tc>
          <w:tcPr>
            <w:tcW w:w="1458" w:type="dxa"/>
            <w:vAlign w:val="bottom"/>
          </w:tcPr>
          <w:p w:rsidR="00AA4D73" w:rsidRPr="00AA4D73" w:rsidRDefault="00AA4D73">
            <w:pPr>
              <w:jc w:val="right"/>
            </w:pPr>
            <w:r w:rsidRPr="00AA4D73">
              <w:t>950</w:t>
            </w:r>
          </w:p>
        </w:tc>
      </w:tr>
      <w:tr w:rsidR="00AA4D73" w:rsidRPr="009A161C" w:rsidTr="00B91E56">
        <w:trPr>
          <w:trHeight w:val="225"/>
        </w:trPr>
        <w:tc>
          <w:tcPr>
            <w:tcW w:w="1730" w:type="dxa"/>
            <w:noWrap/>
            <w:hideMark/>
          </w:tcPr>
          <w:p w:rsidR="00AA4D73" w:rsidRPr="009A161C" w:rsidRDefault="00AA4D73" w:rsidP="00B91E56">
            <w:r w:rsidRPr="009A161C">
              <w:t>Durban</w:t>
            </w:r>
          </w:p>
        </w:tc>
        <w:tc>
          <w:tcPr>
            <w:tcW w:w="1464" w:type="dxa"/>
            <w:vAlign w:val="bottom"/>
          </w:tcPr>
          <w:p w:rsidR="00AA4D73" w:rsidRPr="00AA4D73" w:rsidRDefault="00AA4D73">
            <w:pPr>
              <w:jc w:val="right"/>
            </w:pPr>
            <w:r w:rsidRPr="00AA4D73">
              <w:t>292</w:t>
            </w:r>
          </w:p>
        </w:tc>
        <w:tc>
          <w:tcPr>
            <w:tcW w:w="1352" w:type="dxa"/>
            <w:vAlign w:val="bottom"/>
          </w:tcPr>
          <w:p w:rsidR="00AA4D73" w:rsidRPr="00AA4D73" w:rsidRDefault="00AA4D73">
            <w:pPr>
              <w:jc w:val="right"/>
            </w:pPr>
            <w:r w:rsidRPr="00AA4D73">
              <w:t>350</w:t>
            </w:r>
          </w:p>
        </w:tc>
        <w:tc>
          <w:tcPr>
            <w:tcW w:w="1705" w:type="dxa"/>
            <w:noWrap/>
            <w:vAlign w:val="bottom"/>
            <w:hideMark/>
          </w:tcPr>
          <w:p w:rsidR="00AA4D73" w:rsidRPr="00AA4D73" w:rsidRDefault="00AA4D73">
            <w:pPr>
              <w:jc w:val="right"/>
            </w:pPr>
            <w:r w:rsidRPr="00AA4D73">
              <w:t>460</w:t>
            </w:r>
          </w:p>
        </w:tc>
        <w:tc>
          <w:tcPr>
            <w:tcW w:w="1458" w:type="dxa"/>
            <w:vAlign w:val="bottom"/>
          </w:tcPr>
          <w:p w:rsidR="00AA4D73" w:rsidRPr="00AA4D73" w:rsidRDefault="00AA4D73">
            <w:pPr>
              <w:jc w:val="right"/>
            </w:pPr>
            <w:r w:rsidRPr="00AA4D73">
              <w:t>650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East</w:t>
            </w:r>
          </w:p>
        </w:tc>
        <w:tc>
          <w:tcPr>
            <w:tcW w:w="1464" w:type="dxa"/>
            <w:vAlign w:val="bottom"/>
          </w:tcPr>
          <w:p w:rsidR="00AA4D73" w:rsidRPr="00AA4D73" w:rsidRDefault="00AA4D73">
            <w:pPr>
              <w:jc w:val="right"/>
            </w:pPr>
            <w:r w:rsidRPr="00AA4D73">
              <w:t>353</w:t>
            </w:r>
          </w:p>
        </w:tc>
        <w:tc>
          <w:tcPr>
            <w:tcW w:w="1352" w:type="dxa"/>
            <w:vAlign w:val="bottom"/>
          </w:tcPr>
          <w:p w:rsidR="00AA4D73" w:rsidRPr="00AA4D73" w:rsidRDefault="00AA4D73">
            <w:pPr>
              <w:jc w:val="right"/>
            </w:pPr>
            <w:r w:rsidRPr="00AA4D73">
              <w:t>450</w:t>
            </w:r>
          </w:p>
        </w:tc>
        <w:tc>
          <w:tcPr>
            <w:tcW w:w="1705" w:type="dxa"/>
            <w:noWrap/>
            <w:vAlign w:val="bottom"/>
            <w:hideMark/>
          </w:tcPr>
          <w:p w:rsidR="00AA4D73" w:rsidRPr="00AA4D73" w:rsidRDefault="00AA4D73">
            <w:pPr>
              <w:jc w:val="right"/>
            </w:pPr>
            <w:r w:rsidRPr="00AA4D73">
              <w:t>487</w:t>
            </w:r>
          </w:p>
        </w:tc>
        <w:tc>
          <w:tcPr>
            <w:tcW w:w="1458" w:type="dxa"/>
            <w:vAlign w:val="bottom"/>
          </w:tcPr>
          <w:p w:rsidR="00AA4D73" w:rsidRPr="00AA4D73" w:rsidRDefault="00AA4D73">
            <w:pPr>
              <w:jc w:val="right"/>
            </w:pPr>
            <w:r w:rsidRPr="00AA4D73">
              <w:t>500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t>
            </w:r>
            <w:proofErr w:type="spellStart"/>
            <w:r w:rsidRPr="009A161C">
              <w:t>Sandton</w:t>
            </w:r>
            <w:proofErr w:type="spellEnd"/>
          </w:p>
        </w:tc>
        <w:tc>
          <w:tcPr>
            <w:tcW w:w="1464" w:type="dxa"/>
            <w:vAlign w:val="bottom"/>
          </w:tcPr>
          <w:p w:rsidR="00AA4D73" w:rsidRPr="00AA4D73" w:rsidRDefault="00AA4D73">
            <w:pPr>
              <w:jc w:val="right"/>
            </w:pPr>
            <w:r w:rsidRPr="00AA4D73">
              <w:t>381</w:t>
            </w:r>
          </w:p>
        </w:tc>
        <w:tc>
          <w:tcPr>
            <w:tcW w:w="1352" w:type="dxa"/>
            <w:vAlign w:val="bottom"/>
          </w:tcPr>
          <w:p w:rsidR="00AA4D73" w:rsidRPr="00AA4D73" w:rsidRDefault="00AA4D73">
            <w:pPr>
              <w:jc w:val="right"/>
            </w:pPr>
            <w:r w:rsidRPr="00AA4D73">
              <w:t>457</w:t>
            </w:r>
          </w:p>
        </w:tc>
        <w:tc>
          <w:tcPr>
            <w:tcW w:w="1705" w:type="dxa"/>
            <w:noWrap/>
            <w:vAlign w:val="bottom"/>
            <w:hideMark/>
          </w:tcPr>
          <w:p w:rsidR="00AA4D73" w:rsidRPr="00AA4D73" w:rsidRDefault="00AA4D73">
            <w:pPr>
              <w:jc w:val="right"/>
            </w:pPr>
            <w:r w:rsidRPr="00AA4D73">
              <w:t>500</w:t>
            </w:r>
          </w:p>
        </w:tc>
        <w:tc>
          <w:tcPr>
            <w:tcW w:w="1458" w:type="dxa"/>
            <w:vAlign w:val="bottom"/>
          </w:tcPr>
          <w:p w:rsidR="00AA4D73" w:rsidRPr="00AA4D73" w:rsidRDefault="00AA4D73">
            <w:pPr>
              <w:jc w:val="right"/>
            </w:pPr>
            <w:r w:rsidRPr="00AA4D73">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South</w:t>
            </w:r>
          </w:p>
        </w:tc>
        <w:tc>
          <w:tcPr>
            <w:tcW w:w="1464" w:type="dxa"/>
            <w:vAlign w:val="bottom"/>
          </w:tcPr>
          <w:p w:rsidR="00AA4D73" w:rsidRPr="00AA4D73" w:rsidRDefault="00AA4D73">
            <w:pPr>
              <w:jc w:val="right"/>
            </w:pPr>
            <w:r w:rsidRPr="00AA4D73">
              <w:t>400</w:t>
            </w:r>
          </w:p>
        </w:tc>
        <w:tc>
          <w:tcPr>
            <w:tcW w:w="1352" w:type="dxa"/>
            <w:vAlign w:val="bottom"/>
          </w:tcPr>
          <w:p w:rsidR="00AA4D73" w:rsidRPr="00AA4D73" w:rsidRDefault="00AA4D73">
            <w:pPr>
              <w:jc w:val="right"/>
            </w:pPr>
            <w:r w:rsidRPr="00AA4D73">
              <w:t>450</w:t>
            </w:r>
          </w:p>
        </w:tc>
        <w:tc>
          <w:tcPr>
            <w:tcW w:w="1705" w:type="dxa"/>
            <w:noWrap/>
            <w:vAlign w:val="bottom"/>
            <w:hideMark/>
          </w:tcPr>
          <w:p w:rsidR="00AA4D73" w:rsidRPr="00AA4D73" w:rsidRDefault="00AA4D73">
            <w:pPr>
              <w:jc w:val="right"/>
            </w:pPr>
            <w:r w:rsidRPr="00AA4D73">
              <w:t>500</w:t>
            </w:r>
          </w:p>
        </w:tc>
        <w:tc>
          <w:tcPr>
            <w:tcW w:w="1458" w:type="dxa"/>
            <w:vAlign w:val="bottom"/>
          </w:tcPr>
          <w:p w:rsidR="00AA4D73" w:rsidRPr="00AA4D73" w:rsidRDefault="00AA4D73">
            <w:pPr>
              <w:jc w:val="right"/>
            </w:pPr>
            <w:r w:rsidRPr="00AA4D73">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West</w:t>
            </w:r>
          </w:p>
        </w:tc>
        <w:tc>
          <w:tcPr>
            <w:tcW w:w="1464" w:type="dxa"/>
            <w:vAlign w:val="bottom"/>
          </w:tcPr>
          <w:p w:rsidR="00AA4D73" w:rsidRPr="00AA4D73" w:rsidRDefault="00AA4D73">
            <w:pPr>
              <w:jc w:val="right"/>
            </w:pPr>
            <w:r w:rsidRPr="00AA4D73">
              <w:t>350</w:t>
            </w:r>
          </w:p>
        </w:tc>
        <w:tc>
          <w:tcPr>
            <w:tcW w:w="1352" w:type="dxa"/>
            <w:vAlign w:val="bottom"/>
          </w:tcPr>
          <w:p w:rsidR="00AA4D73" w:rsidRPr="00AA4D73" w:rsidRDefault="00AA4D73">
            <w:pPr>
              <w:jc w:val="right"/>
            </w:pPr>
            <w:r w:rsidRPr="00AA4D73">
              <w:t>450</w:t>
            </w:r>
          </w:p>
        </w:tc>
        <w:tc>
          <w:tcPr>
            <w:tcW w:w="1705" w:type="dxa"/>
            <w:noWrap/>
            <w:vAlign w:val="bottom"/>
            <w:hideMark/>
          </w:tcPr>
          <w:p w:rsidR="00AA4D73" w:rsidRPr="00AA4D73" w:rsidRDefault="00AA4D73">
            <w:pPr>
              <w:jc w:val="right"/>
            </w:pPr>
            <w:r w:rsidRPr="00AA4D73">
              <w:t>585</w:t>
            </w:r>
          </w:p>
        </w:tc>
        <w:tc>
          <w:tcPr>
            <w:tcW w:w="1458" w:type="dxa"/>
            <w:vAlign w:val="bottom"/>
          </w:tcPr>
          <w:p w:rsidR="00AA4D73" w:rsidRPr="00AA4D73" w:rsidRDefault="00AA4D73">
            <w:pPr>
              <w:jc w:val="right"/>
            </w:pPr>
            <w:r w:rsidRPr="00AA4D73">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Neslspruit</w:t>
            </w:r>
            <w:proofErr w:type="spellEnd"/>
          </w:p>
        </w:tc>
        <w:tc>
          <w:tcPr>
            <w:tcW w:w="1464" w:type="dxa"/>
            <w:vAlign w:val="bottom"/>
          </w:tcPr>
          <w:p w:rsidR="00AA4D73" w:rsidRPr="00AA4D73" w:rsidRDefault="00AA4D73">
            <w:pPr>
              <w:jc w:val="right"/>
            </w:pPr>
            <w:r w:rsidRPr="00AA4D73">
              <w:t>350</w:t>
            </w:r>
          </w:p>
        </w:tc>
        <w:tc>
          <w:tcPr>
            <w:tcW w:w="1352" w:type="dxa"/>
            <w:vAlign w:val="bottom"/>
          </w:tcPr>
          <w:p w:rsidR="00AA4D73" w:rsidRPr="00AA4D73" w:rsidRDefault="00AA4D73">
            <w:pPr>
              <w:jc w:val="right"/>
            </w:pPr>
            <w:r w:rsidRPr="00AA4D73">
              <w:t>450</w:t>
            </w:r>
          </w:p>
        </w:tc>
        <w:tc>
          <w:tcPr>
            <w:tcW w:w="1705" w:type="dxa"/>
            <w:noWrap/>
            <w:vAlign w:val="bottom"/>
            <w:hideMark/>
          </w:tcPr>
          <w:p w:rsidR="00AA4D73" w:rsidRPr="00AA4D73" w:rsidRDefault="00AA4D73">
            <w:pPr>
              <w:jc w:val="right"/>
            </w:pPr>
            <w:r w:rsidRPr="00AA4D73">
              <w:t>500</w:t>
            </w:r>
          </w:p>
        </w:tc>
        <w:tc>
          <w:tcPr>
            <w:tcW w:w="1458" w:type="dxa"/>
            <w:vAlign w:val="bottom"/>
          </w:tcPr>
          <w:p w:rsidR="00AA4D73" w:rsidRPr="00AA4D73" w:rsidRDefault="00AA4D73">
            <w:pPr>
              <w:jc w:val="right"/>
            </w:pPr>
            <w:r w:rsidRPr="00AA4D73">
              <w:t>850</w:t>
            </w:r>
          </w:p>
        </w:tc>
      </w:tr>
      <w:tr w:rsidR="00AA4D73" w:rsidRPr="009A161C" w:rsidTr="00B91E56">
        <w:trPr>
          <w:trHeight w:val="225"/>
        </w:trPr>
        <w:tc>
          <w:tcPr>
            <w:tcW w:w="1730" w:type="dxa"/>
            <w:noWrap/>
            <w:hideMark/>
          </w:tcPr>
          <w:p w:rsidR="00AA4D73" w:rsidRPr="009A161C" w:rsidRDefault="00AA4D73" w:rsidP="00B91E56">
            <w:r w:rsidRPr="009A161C">
              <w:lastRenderedPageBreak/>
              <w:t>PE/EL</w:t>
            </w:r>
          </w:p>
        </w:tc>
        <w:tc>
          <w:tcPr>
            <w:tcW w:w="1464" w:type="dxa"/>
            <w:vAlign w:val="bottom"/>
          </w:tcPr>
          <w:p w:rsidR="00AA4D73" w:rsidRPr="00AA4D73" w:rsidRDefault="00AA4D73">
            <w:pPr>
              <w:jc w:val="right"/>
            </w:pPr>
            <w:r w:rsidRPr="00AA4D73">
              <w:t>288</w:t>
            </w:r>
          </w:p>
        </w:tc>
        <w:tc>
          <w:tcPr>
            <w:tcW w:w="1352" w:type="dxa"/>
            <w:vAlign w:val="bottom"/>
          </w:tcPr>
          <w:p w:rsidR="00AA4D73" w:rsidRPr="00AA4D73" w:rsidRDefault="00AA4D73">
            <w:pPr>
              <w:jc w:val="right"/>
            </w:pPr>
            <w:r w:rsidRPr="00AA4D73">
              <w:t>382</w:t>
            </w:r>
          </w:p>
        </w:tc>
        <w:tc>
          <w:tcPr>
            <w:tcW w:w="1705" w:type="dxa"/>
            <w:noWrap/>
            <w:vAlign w:val="bottom"/>
            <w:hideMark/>
          </w:tcPr>
          <w:p w:rsidR="00AA4D73" w:rsidRPr="00AA4D73" w:rsidRDefault="00AA4D73">
            <w:pPr>
              <w:jc w:val="right"/>
            </w:pPr>
            <w:r w:rsidRPr="00AA4D73">
              <w:t>450</w:t>
            </w:r>
          </w:p>
        </w:tc>
        <w:tc>
          <w:tcPr>
            <w:tcW w:w="1458" w:type="dxa"/>
            <w:vAlign w:val="bottom"/>
          </w:tcPr>
          <w:p w:rsidR="00AA4D73" w:rsidRPr="00AA4D73" w:rsidRDefault="00AA4D73">
            <w:pPr>
              <w:jc w:val="right"/>
            </w:pPr>
            <w:r w:rsidRPr="00AA4D73">
              <w:t>570</w:t>
            </w:r>
          </w:p>
        </w:tc>
      </w:tr>
      <w:tr w:rsidR="00AA4D73" w:rsidRPr="009A161C" w:rsidTr="00B91E56">
        <w:trPr>
          <w:trHeight w:val="225"/>
        </w:trPr>
        <w:tc>
          <w:tcPr>
            <w:tcW w:w="1730" w:type="dxa"/>
            <w:noWrap/>
            <w:hideMark/>
          </w:tcPr>
          <w:p w:rsidR="00AA4D73" w:rsidRPr="009A161C" w:rsidRDefault="00AA4D73" w:rsidP="00B91E56">
            <w:r w:rsidRPr="009A161C">
              <w:t>Pietermaritzburg</w:t>
            </w:r>
          </w:p>
        </w:tc>
        <w:tc>
          <w:tcPr>
            <w:tcW w:w="1464" w:type="dxa"/>
            <w:vAlign w:val="bottom"/>
          </w:tcPr>
          <w:p w:rsidR="00AA4D73" w:rsidRPr="00AA4D73" w:rsidRDefault="00AA4D73">
            <w:pPr>
              <w:jc w:val="right"/>
            </w:pPr>
            <w:r w:rsidRPr="00AA4D73">
              <w:t>281</w:t>
            </w:r>
          </w:p>
        </w:tc>
        <w:tc>
          <w:tcPr>
            <w:tcW w:w="1352" w:type="dxa"/>
            <w:vAlign w:val="bottom"/>
          </w:tcPr>
          <w:p w:rsidR="00AA4D73" w:rsidRPr="00AA4D73" w:rsidRDefault="00AA4D73">
            <w:pPr>
              <w:jc w:val="right"/>
            </w:pPr>
            <w:r w:rsidRPr="00AA4D73">
              <w:t>325</w:t>
            </w:r>
          </w:p>
        </w:tc>
        <w:tc>
          <w:tcPr>
            <w:tcW w:w="1705" w:type="dxa"/>
            <w:noWrap/>
            <w:vAlign w:val="bottom"/>
            <w:hideMark/>
          </w:tcPr>
          <w:p w:rsidR="00AA4D73" w:rsidRPr="00AA4D73" w:rsidRDefault="00AA4D73">
            <w:pPr>
              <w:jc w:val="right"/>
            </w:pPr>
            <w:r w:rsidRPr="00AA4D73">
              <w:t>371</w:t>
            </w:r>
          </w:p>
        </w:tc>
        <w:tc>
          <w:tcPr>
            <w:tcW w:w="1458" w:type="dxa"/>
            <w:vAlign w:val="bottom"/>
          </w:tcPr>
          <w:p w:rsidR="00AA4D73" w:rsidRPr="00AA4D73" w:rsidRDefault="00AA4D73">
            <w:pPr>
              <w:jc w:val="right"/>
            </w:pPr>
            <w:r w:rsidRPr="00AA4D73">
              <w:t>500</w:t>
            </w:r>
          </w:p>
        </w:tc>
      </w:tr>
      <w:tr w:rsidR="00AA4D73" w:rsidRPr="009A161C" w:rsidTr="00B91E56">
        <w:trPr>
          <w:trHeight w:val="225"/>
        </w:trPr>
        <w:tc>
          <w:tcPr>
            <w:tcW w:w="1730" w:type="dxa"/>
            <w:noWrap/>
            <w:hideMark/>
          </w:tcPr>
          <w:p w:rsidR="00AA4D73" w:rsidRPr="009A161C" w:rsidRDefault="00AA4D73" w:rsidP="00B91E56">
            <w:proofErr w:type="spellStart"/>
            <w:r w:rsidRPr="009A161C">
              <w:t>Polokwane</w:t>
            </w:r>
            <w:proofErr w:type="spellEnd"/>
          </w:p>
        </w:tc>
        <w:tc>
          <w:tcPr>
            <w:tcW w:w="1464" w:type="dxa"/>
            <w:vAlign w:val="bottom"/>
          </w:tcPr>
          <w:p w:rsidR="00AA4D73" w:rsidRPr="00AA4D73" w:rsidRDefault="00AA4D73">
            <w:pPr>
              <w:jc w:val="right"/>
            </w:pPr>
            <w:r w:rsidRPr="00AA4D73">
              <w:t>387</w:t>
            </w:r>
          </w:p>
        </w:tc>
        <w:tc>
          <w:tcPr>
            <w:tcW w:w="1352" w:type="dxa"/>
            <w:vAlign w:val="bottom"/>
          </w:tcPr>
          <w:p w:rsidR="00AA4D73" w:rsidRPr="00AA4D73" w:rsidRDefault="00AA4D73">
            <w:pPr>
              <w:jc w:val="right"/>
            </w:pPr>
            <w:r w:rsidRPr="00AA4D73">
              <w:t>500</w:t>
            </w:r>
          </w:p>
        </w:tc>
        <w:tc>
          <w:tcPr>
            <w:tcW w:w="1705" w:type="dxa"/>
            <w:noWrap/>
            <w:vAlign w:val="bottom"/>
            <w:hideMark/>
          </w:tcPr>
          <w:p w:rsidR="00AA4D73" w:rsidRPr="00AA4D73" w:rsidRDefault="00AA4D73">
            <w:pPr>
              <w:jc w:val="right"/>
            </w:pPr>
            <w:r w:rsidRPr="00AA4D73">
              <w:t>575</w:t>
            </w:r>
          </w:p>
        </w:tc>
        <w:tc>
          <w:tcPr>
            <w:tcW w:w="1458" w:type="dxa"/>
            <w:vAlign w:val="bottom"/>
          </w:tcPr>
          <w:p w:rsidR="00AA4D73" w:rsidRPr="00AA4D73" w:rsidRDefault="00AA4D73">
            <w:pPr>
              <w:jc w:val="right"/>
            </w:pPr>
            <w:r w:rsidRPr="00AA4D73">
              <w:t>650</w:t>
            </w:r>
          </w:p>
        </w:tc>
      </w:tr>
      <w:tr w:rsidR="00AA4D73" w:rsidRPr="009A161C" w:rsidTr="00B91E56">
        <w:trPr>
          <w:trHeight w:val="225"/>
        </w:trPr>
        <w:tc>
          <w:tcPr>
            <w:tcW w:w="1730" w:type="dxa"/>
            <w:noWrap/>
            <w:hideMark/>
          </w:tcPr>
          <w:p w:rsidR="00AA4D73" w:rsidRPr="009A161C" w:rsidRDefault="00AA4D73" w:rsidP="00B91E56">
            <w:r w:rsidRPr="009A161C">
              <w:t>Potchefstroom</w:t>
            </w:r>
          </w:p>
        </w:tc>
        <w:tc>
          <w:tcPr>
            <w:tcW w:w="1464" w:type="dxa"/>
            <w:vAlign w:val="bottom"/>
          </w:tcPr>
          <w:p w:rsidR="00AA4D73" w:rsidRPr="00AA4D73" w:rsidRDefault="00AA4D73">
            <w:pPr>
              <w:jc w:val="right"/>
            </w:pPr>
            <w:r w:rsidRPr="00AA4D73">
              <w:t>362</w:t>
            </w:r>
          </w:p>
        </w:tc>
        <w:tc>
          <w:tcPr>
            <w:tcW w:w="1352" w:type="dxa"/>
          </w:tcPr>
          <w:p w:rsidR="00AA4D73" w:rsidRPr="009A161C" w:rsidRDefault="00AA4D73" w:rsidP="00B91E56">
            <w:r w:rsidRPr="009A161C">
              <w:t>485</w:t>
            </w:r>
          </w:p>
        </w:tc>
        <w:tc>
          <w:tcPr>
            <w:tcW w:w="1705" w:type="dxa"/>
            <w:noWrap/>
            <w:hideMark/>
          </w:tcPr>
          <w:p w:rsidR="00AA4D73" w:rsidRPr="009A161C" w:rsidRDefault="00AA4D73" w:rsidP="00B91E56">
            <w:r w:rsidRPr="009A161C">
              <w:t>500</w:t>
            </w:r>
          </w:p>
        </w:tc>
        <w:tc>
          <w:tcPr>
            <w:tcW w:w="1458" w:type="dxa"/>
            <w:vAlign w:val="bottom"/>
          </w:tcPr>
          <w:p w:rsidR="00AA4D73" w:rsidRPr="00AA4D73" w:rsidRDefault="00AA4D73">
            <w:pPr>
              <w:jc w:val="right"/>
            </w:pPr>
            <w:r w:rsidRPr="00AA4D73">
              <w:t>550</w:t>
            </w:r>
          </w:p>
        </w:tc>
      </w:tr>
      <w:tr w:rsidR="00AA4D73" w:rsidRPr="009A161C" w:rsidTr="00B91E56">
        <w:trPr>
          <w:trHeight w:val="225"/>
        </w:trPr>
        <w:tc>
          <w:tcPr>
            <w:tcW w:w="1730" w:type="dxa"/>
            <w:noWrap/>
            <w:hideMark/>
          </w:tcPr>
          <w:p w:rsidR="00AA4D73" w:rsidRPr="009A161C" w:rsidRDefault="00AA4D73" w:rsidP="00B91E56">
            <w:r w:rsidRPr="009A161C">
              <w:t>Pretoria</w:t>
            </w:r>
          </w:p>
        </w:tc>
        <w:tc>
          <w:tcPr>
            <w:tcW w:w="1464" w:type="dxa"/>
            <w:vAlign w:val="bottom"/>
          </w:tcPr>
          <w:p w:rsidR="00AA4D73" w:rsidRPr="00AA4D73" w:rsidRDefault="00AA4D73">
            <w:pPr>
              <w:jc w:val="right"/>
            </w:pPr>
            <w:r w:rsidRPr="00AA4D73">
              <w:t>350</w:t>
            </w:r>
          </w:p>
        </w:tc>
        <w:tc>
          <w:tcPr>
            <w:tcW w:w="1352" w:type="dxa"/>
          </w:tcPr>
          <w:p w:rsidR="00AA4D73" w:rsidRPr="009A161C" w:rsidRDefault="00AA4D73" w:rsidP="00B91E56">
            <w:r w:rsidRPr="009A161C">
              <w:t>500</w:t>
            </w:r>
          </w:p>
        </w:tc>
        <w:tc>
          <w:tcPr>
            <w:tcW w:w="1705" w:type="dxa"/>
            <w:noWrap/>
            <w:hideMark/>
          </w:tcPr>
          <w:p w:rsidR="00AA4D73" w:rsidRPr="009A161C" w:rsidRDefault="00AA4D73" w:rsidP="00B91E56">
            <w:r w:rsidRPr="009A161C">
              <w:t>638</w:t>
            </w:r>
          </w:p>
        </w:tc>
        <w:tc>
          <w:tcPr>
            <w:tcW w:w="1458" w:type="dxa"/>
            <w:vAlign w:val="bottom"/>
          </w:tcPr>
          <w:p w:rsidR="00AA4D73" w:rsidRPr="00AA4D73" w:rsidRDefault="00AA4D73">
            <w:pPr>
              <w:jc w:val="right"/>
            </w:pPr>
            <w:r w:rsidRPr="00AA4D73">
              <w:t>1000</w:t>
            </w:r>
          </w:p>
        </w:tc>
      </w:tr>
    </w:tbl>
    <w:p w:rsidR="00AA4D73" w:rsidRDefault="00AA4D73"/>
    <w:p w:rsidR="004675EF" w:rsidRDefault="004675EF"/>
    <w:p w:rsidR="00FB1EE7" w:rsidRDefault="00FB1EE7">
      <w:r w:rsidRPr="00FB1EE7">
        <w:drawing>
          <wp:inline distT="0" distB="0" distL="0" distR="0">
            <wp:extent cx="5572125" cy="2943225"/>
            <wp:effectExtent l="19050" t="0" r="9525" b="0"/>
            <wp:docPr id="3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4D73" w:rsidRDefault="00AA4D73"/>
    <w:tbl>
      <w:tblPr>
        <w:tblStyle w:val="TableGrid"/>
        <w:tblW w:w="7709" w:type="dxa"/>
        <w:tblInd w:w="665" w:type="dxa"/>
        <w:tblLook w:val="04A0"/>
      </w:tblPr>
      <w:tblGrid>
        <w:gridCol w:w="1730"/>
        <w:gridCol w:w="1464"/>
        <w:gridCol w:w="1352"/>
        <w:gridCol w:w="1705"/>
        <w:gridCol w:w="1458"/>
      </w:tblGrid>
      <w:tr w:rsidR="00AA4D73" w:rsidRPr="009A161C" w:rsidTr="00B91E56">
        <w:trPr>
          <w:trHeight w:val="225"/>
        </w:trPr>
        <w:tc>
          <w:tcPr>
            <w:tcW w:w="7709" w:type="dxa"/>
            <w:gridSpan w:val="5"/>
            <w:noWrap/>
            <w:hideMark/>
          </w:tcPr>
          <w:p w:rsidR="00AA4D73" w:rsidRPr="009A161C" w:rsidRDefault="00AA4D73" w:rsidP="00AA4D73">
            <w:pPr>
              <w:jc w:val="center"/>
              <w:rPr>
                <w:b/>
                <w:bCs/>
              </w:rPr>
            </w:pPr>
            <w:r>
              <w:rPr>
                <w:b/>
                <w:bCs/>
              </w:rPr>
              <w:t xml:space="preserve">Postage and </w:t>
            </w:r>
            <w:proofErr w:type="spellStart"/>
            <w:r>
              <w:rPr>
                <w:b/>
                <w:bCs/>
              </w:rPr>
              <w:t>Petties</w:t>
            </w:r>
            <w:proofErr w:type="spellEnd"/>
            <w:r>
              <w:rPr>
                <w:b/>
                <w:bCs/>
              </w:rPr>
              <w:t xml:space="preserve"> Recovery - Cancellations</w:t>
            </w:r>
          </w:p>
        </w:tc>
      </w:tr>
      <w:tr w:rsidR="00AA4D73" w:rsidRPr="009A161C" w:rsidTr="00B91E56">
        <w:trPr>
          <w:trHeight w:val="225"/>
        </w:trPr>
        <w:tc>
          <w:tcPr>
            <w:tcW w:w="1730" w:type="dxa"/>
            <w:noWrap/>
            <w:hideMark/>
          </w:tcPr>
          <w:p w:rsidR="00AA4D73" w:rsidRPr="009A161C" w:rsidRDefault="00AA4D73" w:rsidP="00B91E56">
            <w:pPr>
              <w:rPr>
                <w:b/>
                <w:bCs/>
              </w:rPr>
            </w:pPr>
          </w:p>
        </w:tc>
        <w:tc>
          <w:tcPr>
            <w:tcW w:w="1464" w:type="dxa"/>
          </w:tcPr>
          <w:p w:rsidR="00AA4D73" w:rsidRPr="009A161C" w:rsidRDefault="00AA4D73" w:rsidP="00B91E56">
            <w:pPr>
              <w:rPr>
                <w:b/>
                <w:bCs/>
              </w:rPr>
            </w:pPr>
            <w:r w:rsidRPr="009A161C">
              <w:rPr>
                <w:b/>
                <w:bCs/>
              </w:rPr>
              <w:t>Lower 1/4</w:t>
            </w:r>
          </w:p>
        </w:tc>
        <w:tc>
          <w:tcPr>
            <w:tcW w:w="1352" w:type="dxa"/>
          </w:tcPr>
          <w:p w:rsidR="00AA4D73" w:rsidRPr="009A161C" w:rsidRDefault="00AA4D73" w:rsidP="00B91E56">
            <w:pPr>
              <w:rPr>
                <w:b/>
                <w:bCs/>
              </w:rPr>
            </w:pPr>
            <w:r w:rsidRPr="009A161C">
              <w:rPr>
                <w:b/>
                <w:bCs/>
              </w:rPr>
              <w:t>Median</w:t>
            </w:r>
          </w:p>
        </w:tc>
        <w:tc>
          <w:tcPr>
            <w:tcW w:w="1705" w:type="dxa"/>
            <w:noWrap/>
            <w:hideMark/>
          </w:tcPr>
          <w:p w:rsidR="00AA4D73" w:rsidRPr="009A161C" w:rsidRDefault="00AA4D73" w:rsidP="00B91E56">
            <w:pPr>
              <w:rPr>
                <w:b/>
                <w:bCs/>
              </w:rPr>
            </w:pPr>
            <w:r w:rsidRPr="009A161C">
              <w:rPr>
                <w:b/>
                <w:bCs/>
              </w:rPr>
              <w:t>Three quarter</w:t>
            </w:r>
          </w:p>
        </w:tc>
        <w:tc>
          <w:tcPr>
            <w:tcW w:w="1458" w:type="dxa"/>
          </w:tcPr>
          <w:p w:rsidR="00AA4D73" w:rsidRPr="009A161C" w:rsidRDefault="00AA4D73" w:rsidP="00B91E56">
            <w:pPr>
              <w:rPr>
                <w:b/>
                <w:bCs/>
              </w:rPr>
            </w:pPr>
            <w:r w:rsidRPr="009A161C">
              <w:rPr>
                <w:b/>
                <w:bCs/>
              </w:rPr>
              <w:t>High</w:t>
            </w:r>
          </w:p>
        </w:tc>
      </w:tr>
      <w:tr w:rsidR="00AA4D73" w:rsidRPr="009A161C" w:rsidTr="00B91E56">
        <w:trPr>
          <w:trHeight w:val="225"/>
        </w:trPr>
        <w:tc>
          <w:tcPr>
            <w:tcW w:w="1730" w:type="dxa"/>
            <w:noWrap/>
            <w:hideMark/>
          </w:tcPr>
          <w:p w:rsidR="00AA4D73" w:rsidRPr="009A161C" w:rsidRDefault="00AA4D73" w:rsidP="00B91E56">
            <w:r w:rsidRPr="009A161C">
              <w:t>National Average</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125</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285</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925</w:t>
            </w:r>
          </w:p>
        </w:tc>
      </w:tr>
      <w:tr w:rsidR="00AA4D73" w:rsidRPr="009A161C" w:rsidTr="00B91E56">
        <w:trPr>
          <w:trHeight w:val="225"/>
        </w:trPr>
        <w:tc>
          <w:tcPr>
            <w:tcW w:w="1730" w:type="dxa"/>
            <w:noWrap/>
            <w:hideMark/>
          </w:tcPr>
          <w:p w:rsidR="00AA4D73" w:rsidRPr="009A161C" w:rsidRDefault="00AA4D73" w:rsidP="00B91E56">
            <w:r w:rsidRPr="009A161C">
              <w:t>Bloemfontein</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180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800</w:t>
            </w:r>
          </w:p>
        </w:tc>
      </w:tr>
      <w:tr w:rsidR="00AA4D73" w:rsidRPr="009A161C" w:rsidTr="00B91E56">
        <w:trPr>
          <w:trHeight w:val="225"/>
        </w:trPr>
        <w:tc>
          <w:tcPr>
            <w:tcW w:w="1730" w:type="dxa"/>
            <w:noWrap/>
            <w:hideMark/>
          </w:tcPr>
          <w:p w:rsidR="00AA4D73" w:rsidRPr="009A161C" w:rsidRDefault="00AA4D73" w:rsidP="00B91E56">
            <w:r w:rsidRPr="009A161C">
              <w:t>Cape Town</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350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400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450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950</w:t>
            </w:r>
          </w:p>
        </w:tc>
      </w:tr>
      <w:tr w:rsidR="00AA4D73" w:rsidRPr="009A161C" w:rsidTr="00B91E56">
        <w:trPr>
          <w:trHeight w:val="225"/>
        </w:trPr>
        <w:tc>
          <w:tcPr>
            <w:tcW w:w="1730" w:type="dxa"/>
            <w:noWrap/>
            <w:hideMark/>
          </w:tcPr>
          <w:p w:rsidR="00AA4D73" w:rsidRPr="009A161C" w:rsidRDefault="00AA4D73" w:rsidP="00B91E56">
            <w:r w:rsidRPr="009A161C">
              <w:t>Durban</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500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East</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110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450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t>
            </w:r>
            <w:proofErr w:type="spellStart"/>
            <w:r w:rsidRPr="009A161C">
              <w:t>Sandton</w:t>
            </w:r>
            <w:proofErr w:type="spellEnd"/>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120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925</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South</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142</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267</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West</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125</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Neslspruit</w:t>
            </w:r>
            <w:proofErr w:type="spellEnd"/>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220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r w:rsidRPr="009A161C">
              <w:t>PE/EL</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146</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257</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500</w:t>
            </w:r>
          </w:p>
        </w:tc>
      </w:tr>
      <w:tr w:rsidR="00AA4D73" w:rsidRPr="009A161C" w:rsidTr="00B91E56">
        <w:trPr>
          <w:trHeight w:val="225"/>
        </w:trPr>
        <w:tc>
          <w:tcPr>
            <w:tcW w:w="1730" w:type="dxa"/>
            <w:noWrap/>
            <w:hideMark/>
          </w:tcPr>
          <w:p w:rsidR="00AA4D73" w:rsidRPr="009A161C" w:rsidRDefault="00AA4D73" w:rsidP="00B91E56">
            <w:r w:rsidRPr="009A161C">
              <w:t>Pietermaritzburg</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100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125</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207</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proofErr w:type="spellStart"/>
            <w:r w:rsidRPr="009A161C">
              <w:t>Polokwane</w:t>
            </w:r>
            <w:proofErr w:type="spellEnd"/>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300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325</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650</w:t>
            </w:r>
          </w:p>
        </w:tc>
      </w:tr>
      <w:tr w:rsidR="00AA4D73" w:rsidRPr="009A161C" w:rsidTr="00B91E56">
        <w:trPr>
          <w:trHeight w:val="225"/>
        </w:trPr>
        <w:tc>
          <w:tcPr>
            <w:tcW w:w="1730" w:type="dxa"/>
            <w:noWrap/>
            <w:hideMark/>
          </w:tcPr>
          <w:p w:rsidR="00AA4D73" w:rsidRPr="009A161C" w:rsidRDefault="00AA4D73" w:rsidP="00B91E56">
            <w:r w:rsidRPr="009A161C">
              <w:t>Potchefstroom</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r w:rsidRPr="009A161C">
              <w:t>Pretoria</w:t>
            </w:r>
          </w:p>
        </w:tc>
        <w:tc>
          <w:tcPr>
            <w:tcW w:w="1464" w:type="dxa"/>
            <w:vAlign w:val="bottom"/>
          </w:tcPr>
          <w:p w:rsidR="00AA4D73" w:rsidRDefault="00AA4D73">
            <w:pPr>
              <w:jc w:val="right"/>
              <w:rPr>
                <w:rFonts w:ascii="Arial" w:hAnsi="Arial" w:cs="Arial"/>
                <w:sz w:val="16"/>
                <w:szCs w:val="16"/>
              </w:rPr>
            </w:pPr>
            <w:r>
              <w:rPr>
                <w:rFonts w:ascii="Arial" w:hAnsi="Arial" w:cs="Arial"/>
                <w:sz w:val="16"/>
                <w:szCs w:val="16"/>
              </w:rPr>
              <w:t>123</w:t>
            </w:r>
          </w:p>
        </w:tc>
        <w:tc>
          <w:tcPr>
            <w:tcW w:w="1352" w:type="dxa"/>
            <w:vAlign w:val="bottom"/>
          </w:tcPr>
          <w:p w:rsidR="00AA4D73" w:rsidRDefault="00AA4D73">
            <w:pPr>
              <w:jc w:val="right"/>
              <w:rPr>
                <w:rFonts w:ascii="Arial" w:hAnsi="Arial" w:cs="Arial"/>
                <w:sz w:val="16"/>
                <w:szCs w:val="16"/>
              </w:rPr>
            </w:pPr>
            <w:r>
              <w:rPr>
                <w:rFonts w:ascii="Arial" w:hAnsi="Arial" w:cs="Arial"/>
                <w:sz w:val="16"/>
                <w:szCs w:val="16"/>
              </w:rPr>
              <w:t>250</w:t>
            </w:r>
          </w:p>
        </w:tc>
        <w:tc>
          <w:tcPr>
            <w:tcW w:w="1705" w:type="dxa"/>
            <w:noWrap/>
            <w:vAlign w:val="bottom"/>
            <w:hideMark/>
          </w:tcPr>
          <w:p w:rsidR="00AA4D73" w:rsidRDefault="00AA4D73">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pPr>
              <w:jc w:val="right"/>
              <w:rPr>
                <w:rFonts w:ascii="Arial" w:hAnsi="Arial" w:cs="Arial"/>
                <w:sz w:val="16"/>
                <w:szCs w:val="16"/>
              </w:rPr>
            </w:pPr>
            <w:r>
              <w:rPr>
                <w:rFonts w:ascii="Arial" w:hAnsi="Arial" w:cs="Arial"/>
                <w:sz w:val="16"/>
                <w:szCs w:val="16"/>
              </w:rPr>
              <w:t>550</w:t>
            </w:r>
          </w:p>
        </w:tc>
      </w:tr>
    </w:tbl>
    <w:p w:rsidR="00FB1EE7" w:rsidRDefault="00FB1EE7"/>
    <w:p w:rsidR="00AA4D73" w:rsidRDefault="00AA4D73"/>
    <w:p w:rsidR="00B91E56" w:rsidRDefault="00B91E56">
      <w:pPr>
        <w:rPr>
          <w:b/>
        </w:rPr>
      </w:pPr>
      <w:r>
        <w:rPr>
          <w:b/>
        </w:rPr>
        <w:t>Deeds Office Search Recovery</w:t>
      </w:r>
    </w:p>
    <w:p w:rsidR="00430797" w:rsidRPr="00B91E56" w:rsidRDefault="00430797">
      <w:pPr>
        <w:rPr>
          <w:b/>
        </w:rPr>
      </w:pPr>
    </w:p>
    <w:p w:rsidR="00FB1EE7" w:rsidRDefault="00FB1EE7">
      <w:r w:rsidRPr="00FB1EE7">
        <w:lastRenderedPageBreak/>
        <w:drawing>
          <wp:inline distT="0" distB="0" distL="0" distR="0">
            <wp:extent cx="5572125" cy="2962275"/>
            <wp:effectExtent l="19050" t="0" r="9525" b="0"/>
            <wp:docPr id="3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1EE7" w:rsidRDefault="00FB1EE7"/>
    <w:tbl>
      <w:tblPr>
        <w:tblStyle w:val="TableGrid"/>
        <w:tblW w:w="7709" w:type="dxa"/>
        <w:tblInd w:w="665" w:type="dxa"/>
        <w:tblLook w:val="04A0"/>
      </w:tblPr>
      <w:tblGrid>
        <w:gridCol w:w="1730"/>
        <w:gridCol w:w="1464"/>
        <w:gridCol w:w="1352"/>
        <w:gridCol w:w="1705"/>
        <w:gridCol w:w="1458"/>
      </w:tblGrid>
      <w:tr w:rsidR="00AA4D73" w:rsidRPr="009A161C" w:rsidTr="00B91E56">
        <w:trPr>
          <w:trHeight w:val="225"/>
        </w:trPr>
        <w:tc>
          <w:tcPr>
            <w:tcW w:w="7709" w:type="dxa"/>
            <w:gridSpan w:val="5"/>
            <w:noWrap/>
            <w:hideMark/>
          </w:tcPr>
          <w:p w:rsidR="00AA4D73" w:rsidRPr="009A161C" w:rsidRDefault="00AA4D73" w:rsidP="00B91E56">
            <w:pPr>
              <w:jc w:val="center"/>
              <w:rPr>
                <w:b/>
                <w:bCs/>
              </w:rPr>
            </w:pPr>
            <w:r>
              <w:rPr>
                <w:b/>
                <w:bCs/>
              </w:rPr>
              <w:t>Deeds Office Search Recovery</w:t>
            </w:r>
          </w:p>
        </w:tc>
      </w:tr>
      <w:tr w:rsidR="00AA4D73" w:rsidRPr="009A161C" w:rsidTr="00B91E56">
        <w:trPr>
          <w:trHeight w:val="225"/>
        </w:trPr>
        <w:tc>
          <w:tcPr>
            <w:tcW w:w="1730" w:type="dxa"/>
            <w:noWrap/>
            <w:hideMark/>
          </w:tcPr>
          <w:p w:rsidR="00AA4D73" w:rsidRPr="009A161C" w:rsidRDefault="00AA4D73" w:rsidP="00B91E56">
            <w:pPr>
              <w:rPr>
                <w:b/>
                <w:bCs/>
              </w:rPr>
            </w:pPr>
          </w:p>
        </w:tc>
        <w:tc>
          <w:tcPr>
            <w:tcW w:w="1464" w:type="dxa"/>
          </w:tcPr>
          <w:p w:rsidR="00AA4D73" w:rsidRPr="009A161C" w:rsidRDefault="00AA4D73" w:rsidP="00B91E56">
            <w:pPr>
              <w:rPr>
                <w:b/>
                <w:bCs/>
              </w:rPr>
            </w:pPr>
            <w:r w:rsidRPr="009A161C">
              <w:rPr>
                <w:b/>
                <w:bCs/>
              </w:rPr>
              <w:t>Lower 1/4</w:t>
            </w:r>
          </w:p>
        </w:tc>
        <w:tc>
          <w:tcPr>
            <w:tcW w:w="1352" w:type="dxa"/>
          </w:tcPr>
          <w:p w:rsidR="00AA4D73" w:rsidRPr="009A161C" w:rsidRDefault="00AA4D73" w:rsidP="00B91E56">
            <w:pPr>
              <w:rPr>
                <w:b/>
                <w:bCs/>
              </w:rPr>
            </w:pPr>
            <w:r w:rsidRPr="009A161C">
              <w:rPr>
                <w:b/>
                <w:bCs/>
              </w:rPr>
              <w:t>Median</w:t>
            </w:r>
          </w:p>
        </w:tc>
        <w:tc>
          <w:tcPr>
            <w:tcW w:w="1705" w:type="dxa"/>
            <w:noWrap/>
            <w:hideMark/>
          </w:tcPr>
          <w:p w:rsidR="00AA4D73" w:rsidRPr="009A161C" w:rsidRDefault="00AA4D73" w:rsidP="00B91E56">
            <w:pPr>
              <w:rPr>
                <w:b/>
                <w:bCs/>
              </w:rPr>
            </w:pPr>
            <w:r w:rsidRPr="009A161C">
              <w:rPr>
                <w:b/>
                <w:bCs/>
              </w:rPr>
              <w:t>Three quarter</w:t>
            </w:r>
          </w:p>
        </w:tc>
        <w:tc>
          <w:tcPr>
            <w:tcW w:w="1458" w:type="dxa"/>
          </w:tcPr>
          <w:p w:rsidR="00AA4D73" w:rsidRPr="009A161C" w:rsidRDefault="00AA4D73" w:rsidP="00B91E56">
            <w:pPr>
              <w:rPr>
                <w:b/>
                <w:bCs/>
              </w:rPr>
            </w:pPr>
            <w:r w:rsidRPr="009A161C">
              <w:rPr>
                <w:b/>
                <w:bCs/>
              </w:rPr>
              <w:t>High</w:t>
            </w:r>
          </w:p>
        </w:tc>
      </w:tr>
      <w:tr w:rsidR="00AA4D73" w:rsidRPr="009A161C" w:rsidTr="00B91E56">
        <w:trPr>
          <w:trHeight w:val="225"/>
        </w:trPr>
        <w:tc>
          <w:tcPr>
            <w:tcW w:w="1730" w:type="dxa"/>
            <w:noWrap/>
            <w:hideMark/>
          </w:tcPr>
          <w:p w:rsidR="00AA4D73" w:rsidRPr="009A161C" w:rsidRDefault="00AA4D73" w:rsidP="00B91E56">
            <w:r w:rsidRPr="009A161C">
              <w:t>National Average</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125</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285</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925</w:t>
            </w:r>
          </w:p>
        </w:tc>
      </w:tr>
      <w:tr w:rsidR="00AA4D73" w:rsidRPr="009A161C" w:rsidTr="00B91E56">
        <w:trPr>
          <w:trHeight w:val="225"/>
        </w:trPr>
        <w:tc>
          <w:tcPr>
            <w:tcW w:w="1730" w:type="dxa"/>
            <w:noWrap/>
            <w:hideMark/>
          </w:tcPr>
          <w:p w:rsidR="00AA4D73" w:rsidRPr="009A161C" w:rsidRDefault="00AA4D73" w:rsidP="00B91E56">
            <w:r w:rsidRPr="009A161C">
              <w:t>Bloemfontein</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180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800</w:t>
            </w:r>
          </w:p>
        </w:tc>
      </w:tr>
      <w:tr w:rsidR="00AA4D73" w:rsidRPr="009A161C" w:rsidTr="00B91E56">
        <w:trPr>
          <w:trHeight w:val="225"/>
        </w:trPr>
        <w:tc>
          <w:tcPr>
            <w:tcW w:w="1730" w:type="dxa"/>
            <w:noWrap/>
            <w:hideMark/>
          </w:tcPr>
          <w:p w:rsidR="00AA4D73" w:rsidRPr="009A161C" w:rsidRDefault="00AA4D73" w:rsidP="00B91E56">
            <w:r w:rsidRPr="009A161C">
              <w:t>Cape Town</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350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400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450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950</w:t>
            </w:r>
          </w:p>
        </w:tc>
      </w:tr>
      <w:tr w:rsidR="00AA4D73" w:rsidRPr="009A161C" w:rsidTr="00B91E56">
        <w:trPr>
          <w:trHeight w:val="225"/>
        </w:trPr>
        <w:tc>
          <w:tcPr>
            <w:tcW w:w="1730" w:type="dxa"/>
            <w:noWrap/>
            <w:hideMark/>
          </w:tcPr>
          <w:p w:rsidR="00AA4D73" w:rsidRPr="009A161C" w:rsidRDefault="00AA4D73" w:rsidP="00B91E56">
            <w:r w:rsidRPr="009A161C">
              <w:t>Durban</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500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East</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110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450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t>
            </w:r>
            <w:proofErr w:type="spellStart"/>
            <w:r w:rsidRPr="009A161C">
              <w:t>Sandton</w:t>
            </w:r>
            <w:proofErr w:type="spellEnd"/>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120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925</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South</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142</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267</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Jhb</w:t>
            </w:r>
            <w:proofErr w:type="spellEnd"/>
            <w:r w:rsidRPr="009A161C">
              <w:t xml:space="preserve"> - West</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125</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750</w:t>
            </w:r>
          </w:p>
        </w:tc>
      </w:tr>
      <w:tr w:rsidR="00AA4D73" w:rsidRPr="009A161C" w:rsidTr="00B91E56">
        <w:trPr>
          <w:trHeight w:val="225"/>
        </w:trPr>
        <w:tc>
          <w:tcPr>
            <w:tcW w:w="1730" w:type="dxa"/>
            <w:noWrap/>
            <w:hideMark/>
          </w:tcPr>
          <w:p w:rsidR="00AA4D73" w:rsidRPr="009A161C" w:rsidRDefault="00AA4D73" w:rsidP="00B91E56">
            <w:proofErr w:type="spellStart"/>
            <w:r w:rsidRPr="009A161C">
              <w:t>Neslspruit</w:t>
            </w:r>
            <w:proofErr w:type="spellEnd"/>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220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r w:rsidRPr="009A161C">
              <w:t>PE/EL</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146</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257</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500</w:t>
            </w:r>
          </w:p>
        </w:tc>
      </w:tr>
      <w:tr w:rsidR="00AA4D73" w:rsidRPr="009A161C" w:rsidTr="00B91E56">
        <w:trPr>
          <w:trHeight w:val="225"/>
        </w:trPr>
        <w:tc>
          <w:tcPr>
            <w:tcW w:w="1730" w:type="dxa"/>
            <w:noWrap/>
            <w:hideMark/>
          </w:tcPr>
          <w:p w:rsidR="00AA4D73" w:rsidRPr="009A161C" w:rsidRDefault="00AA4D73" w:rsidP="00B91E56">
            <w:r w:rsidRPr="009A161C">
              <w:t>Pietermaritzburg</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100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125</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207</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proofErr w:type="spellStart"/>
            <w:r w:rsidRPr="009A161C">
              <w:t>Polokwane</w:t>
            </w:r>
            <w:proofErr w:type="spellEnd"/>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300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325</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650</w:t>
            </w:r>
          </w:p>
        </w:tc>
      </w:tr>
      <w:tr w:rsidR="00AA4D73" w:rsidRPr="009A161C" w:rsidTr="00B91E56">
        <w:trPr>
          <w:trHeight w:val="225"/>
        </w:trPr>
        <w:tc>
          <w:tcPr>
            <w:tcW w:w="1730" w:type="dxa"/>
            <w:noWrap/>
            <w:hideMark/>
          </w:tcPr>
          <w:p w:rsidR="00AA4D73" w:rsidRPr="009A161C" w:rsidRDefault="00AA4D73" w:rsidP="00B91E56">
            <w:r w:rsidRPr="009A161C">
              <w:t>Potchefstroom</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150</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200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250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350</w:t>
            </w:r>
          </w:p>
        </w:tc>
      </w:tr>
      <w:tr w:rsidR="00AA4D73" w:rsidRPr="009A161C" w:rsidTr="00B91E56">
        <w:trPr>
          <w:trHeight w:val="225"/>
        </w:trPr>
        <w:tc>
          <w:tcPr>
            <w:tcW w:w="1730" w:type="dxa"/>
            <w:noWrap/>
            <w:hideMark/>
          </w:tcPr>
          <w:p w:rsidR="00AA4D73" w:rsidRPr="009A161C" w:rsidRDefault="00AA4D73" w:rsidP="00B91E56">
            <w:r w:rsidRPr="009A161C">
              <w:t>Pretoria</w:t>
            </w:r>
          </w:p>
        </w:tc>
        <w:tc>
          <w:tcPr>
            <w:tcW w:w="1464" w:type="dxa"/>
            <w:vAlign w:val="bottom"/>
          </w:tcPr>
          <w:p w:rsidR="00AA4D73" w:rsidRDefault="00AA4D73" w:rsidP="00B91E56">
            <w:pPr>
              <w:jc w:val="right"/>
              <w:rPr>
                <w:rFonts w:ascii="Arial" w:hAnsi="Arial" w:cs="Arial"/>
                <w:sz w:val="16"/>
                <w:szCs w:val="16"/>
              </w:rPr>
            </w:pPr>
            <w:r>
              <w:rPr>
                <w:rFonts w:ascii="Arial" w:hAnsi="Arial" w:cs="Arial"/>
                <w:sz w:val="16"/>
                <w:szCs w:val="16"/>
              </w:rPr>
              <w:t>123</w:t>
            </w:r>
          </w:p>
        </w:tc>
        <w:tc>
          <w:tcPr>
            <w:tcW w:w="1352" w:type="dxa"/>
            <w:vAlign w:val="bottom"/>
          </w:tcPr>
          <w:p w:rsidR="00AA4D73" w:rsidRDefault="00AA4D73" w:rsidP="00B91E56">
            <w:pPr>
              <w:jc w:val="right"/>
              <w:rPr>
                <w:rFonts w:ascii="Arial" w:hAnsi="Arial" w:cs="Arial"/>
                <w:sz w:val="16"/>
                <w:szCs w:val="16"/>
              </w:rPr>
            </w:pPr>
            <w:r>
              <w:rPr>
                <w:rFonts w:ascii="Arial" w:hAnsi="Arial" w:cs="Arial"/>
                <w:sz w:val="16"/>
                <w:szCs w:val="16"/>
              </w:rPr>
              <w:t>250</w:t>
            </w:r>
          </w:p>
        </w:tc>
        <w:tc>
          <w:tcPr>
            <w:tcW w:w="1705" w:type="dxa"/>
            <w:noWrap/>
            <w:vAlign w:val="bottom"/>
            <w:hideMark/>
          </w:tcPr>
          <w:p w:rsidR="00AA4D73" w:rsidRDefault="00AA4D73" w:rsidP="00B91E56">
            <w:pPr>
              <w:jc w:val="right"/>
              <w:rPr>
                <w:rFonts w:ascii="Arial" w:hAnsi="Arial" w:cs="Arial"/>
                <w:sz w:val="16"/>
                <w:szCs w:val="16"/>
              </w:rPr>
            </w:pPr>
            <w:r>
              <w:rPr>
                <w:rFonts w:ascii="Arial" w:hAnsi="Arial" w:cs="Arial"/>
                <w:sz w:val="16"/>
                <w:szCs w:val="16"/>
              </w:rPr>
              <w:t>300</w:t>
            </w:r>
          </w:p>
        </w:tc>
        <w:tc>
          <w:tcPr>
            <w:tcW w:w="1458" w:type="dxa"/>
            <w:vAlign w:val="bottom"/>
          </w:tcPr>
          <w:p w:rsidR="00AA4D73" w:rsidRDefault="00AA4D73" w:rsidP="00B91E56">
            <w:pPr>
              <w:jc w:val="right"/>
              <w:rPr>
                <w:rFonts w:ascii="Arial" w:hAnsi="Arial" w:cs="Arial"/>
                <w:sz w:val="16"/>
                <w:szCs w:val="16"/>
              </w:rPr>
            </w:pPr>
            <w:r>
              <w:rPr>
                <w:rFonts w:ascii="Arial" w:hAnsi="Arial" w:cs="Arial"/>
                <w:sz w:val="16"/>
                <w:szCs w:val="16"/>
              </w:rPr>
              <w:t>550</w:t>
            </w:r>
          </w:p>
        </w:tc>
      </w:tr>
    </w:tbl>
    <w:p w:rsidR="00FB1EE7" w:rsidRDefault="00FB1EE7"/>
    <w:p w:rsidR="00B91E56" w:rsidRDefault="00B91E56"/>
    <w:p w:rsidR="00430797" w:rsidRDefault="00430797"/>
    <w:p w:rsidR="00430797" w:rsidRDefault="00430797"/>
    <w:p w:rsidR="00B91E56" w:rsidRPr="00957B92" w:rsidRDefault="00B91E56" w:rsidP="00B91E56">
      <w:r w:rsidRPr="00957B92">
        <w:rPr>
          <w:b/>
          <w:bCs/>
        </w:rPr>
        <w:t>Rates Clearance Certificate costs</w:t>
      </w:r>
    </w:p>
    <w:p w:rsidR="00B91E56" w:rsidRPr="00957B92" w:rsidRDefault="00B91E56" w:rsidP="00B91E56">
      <w:r w:rsidRPr="00957B92">
        <w:t>Here there was a very big variation, we can only assume that the amounts charged were dependent on the nature of the developments, kind of property transfers and what is necessary to get rates clearance certificates from the various municipalities</w:t>
      </w:r>
      <w:r>
        <w:t xml:space="preserve"> across the country</w:t>
      </w:r>
      <w:r w:rsidRPr="00957B92">
        <w:t>.</w:t>
      </w:r>
    </w:p>
    <w:p w:rsidR="00B91E56" w:rsidRDefault="00B91E56"/>
    <w:p w:rsidR="00FB1EE7" w:rsidRDefault="00FB1EE7">
      <w:r>
        <w:rPr>
          <w:noProof/>
          <w:lang w:eastAsia="en-ZA"/>
        </w:rPr>
        <w:lastRenderedPageBreak/>
        <w:drawing>
          <wp:inline distT="0" distB="0" distL="0" distR="0">
            <wp:extent cx="5572125" cy="305752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1EE7" w:rsidRDefault="00FB1EE7"/>
    <w:p w:rsidR="00957B92" w:rsidRDefault="00957B92"/>
    <w:p w:rsidR="00B91E56" w:rsidRPr="00957B92" w:rsidRDefault="00B91E56" w:rsidP="00B91E56">
      <w:r>
        <w:rPr>
          <w:b/>
          <w:bCs/>
        </w:rPr>
        <w:t>Recovery of Electronic Bond Instruction Costs</w:t>
      </w:r>
    </w:p>
    <w:p w:rsidR="00B91E56" w:rsidRPr="00957B92" w:rsidRDefault="00B91E56" w:rsidP="00B91E56">
      <w:r w:rsidRPr="00B91E56">
        <w:t>Almost 50% of firms recover nothing, yet some see fit to recover R550 per transaction!</w:t>
      </w:r>
      <w:r>
        <w:t xml:space="preserve">  The tables below show per institution the lowest, average (blue marker) and highest amounts recovered per instruction for the big four and </w:t>
      </w:r>
      <w:proofErr w:type="gramStart"/>
      <w:r>
        <w:t>Other</w:t>
      </w:r>
      <w:proofErr w:type="gramEnd"/>
      <w:r>
        <w:t xml:space="preserve"> banks.  Responses were insufficient in the last graph in some of the regions to arrive at a meaningful conclusion.</w:t>
      </w:r>
    </w:p>
    <w:p w:rsidR="00B91E56" w:rsidRDefault="00B91E56"/>
    <w:p w:rsidR="00FB1EE7" w:rsidRDefault="00FB1EE7">
      <w:r w:rsidRPr="00FB1EE7">
        <w:drawing>
          <wp:inline distT="0" distB="0" distL="0" distR="0">
            <wp:extent cx="5572125" cy="2962275"/>
            <wp:effectExtent l="19050" t="0" r="9525" b="0"/>
            <wp:docPr id="3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1EE7" w:rsidRDefault="00FB1EE7"/>
    <w:p w:rsidR="004675EF" w:rsidRDefault="004675EF"/>
    <w:p w:rsidR="00FB1EE7" w:rsidRDefault="00FB1EE7">
      <w:r w:rsidRPr="00FB1EE7">
        <w:drawing>
          <wp:inline distT="0" distB="0" distL="0" distR="0">
            <wp:extent cx="5572125" cy="3209925"/>
            <wp:effectExtent l="19050" t="0" r="9525" b="0"/>
            <wp:docPr id="3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1EE7" w:rsidRDefault="00FB1EE7"/>
    <w:p w:rsidR="00B91E56" w:rsidRDefault="00B91E56"/>
    <w:p w:rsidR="00FB1EE7" w:rsidRDefault="00FB1EE7">
      <w:r w:rsidRPr="00FB1EE7">
        <w:drawing>
          <wp:inline distT="0" distB="0" distL="0" distR="0">
            <wp:extent cx="5572125" cy="2971800"/>
            <wp:effectExtent l="19050" t="0" r="9525" b="0"/>
            <wp:docPr id="4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1EE7" w:rsidRDefault="00FB1EE7"/>
    <w:p w:rsidR="004675EF" w:rsidRDefault="004675EF"/>
    <w:p w:rsidR="00FB1EE7" w:rsidRDefault="00FB1EE7">
      <w:r w:rsidRPr="00FB1EE7">
        <w:lastRenderedPageBreak/>
        <w:drawing>
          <wp:inline distT="0" distB="0" distL="0" distR="0">
            <wp:extent cx="5572125" cy="3219450"/>
            <wp:effectExtent l="19050" t="0" r="9525" b="0"/>
            <wp:docPr id="4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1EE7" w:rsidRDefault="00FB1EE7"/>
    <w:p w:rsidR="004675EF" w:rsidRDefault="004675EF"/>
    <w:p w:rsidR="00FB1EE7" w:rsidRDefault="00FB1EE7">
      <w:r w:rsidRPr="00FB1EE7">
        <w:drawing>
          <wp:inline distT="0" distB="0" distL="0" distR="0">
            <wp:extent cx="5553075" cy="3228975"/>
            <wp:effectExtent l="19050" t="0" r="9525" b="0"/>
            <wp:docPr id="4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75EF" w:rsidRDefault="004675EF"/>
    <w:p w:rsidR="004675EF" w:rsidRDefault="004675EF"/>
    <w:p w:rsidR="00177859" w:rsidRDefault="00177859">
      <w:pPr>
        <w:rPr>
          <w:b/>
        </w:rPr>
      </w:pPr>
      <w:proofErr w:type="spellStart"/>
      <w:proofErr w:type="gramStart"/>
      <w:r>
        <w:rPr>
          <w:b/>
        </w:rPr>
        <w:t>Fica</w:t>
      </w:r>
      <w:proofErr w:type="spellEnd"/>
      <w:proofErr w:type="gramEnd"/>
      <w:r>
        <w:rPr>
          <w:b/>
        </w:rPr>
        <w:t xml:space="preserve"> cost recovery</w:t>
      </w:r>
    </w:p>
    <w:p w:rsidR="00177859" w:rsidRDefault="00177859">
      <w:r w:rsidRPr="00177859">
        <w:t xml:space="preserve">Thirty percent of firms do not recover their </w:t>
      </w:r>
      <w:proofErr w:type="spellStart"/>
      <w:proofErr w:type="gramStart"/>
      <w:r w:rsidRPr="00177859">
        <w:t>Fica</w:t>
      </w:r>
      <w:proofErr w:type="spellEnd"/>
      <w:proofErr w:type="gramEnd"/>
      <w:r w:rsidRPr="00177859">
        <w:t xml:space="preserve"> investigation costs.</w:t>
      </w:r>
    </w:p>
    <w:p w:rsidR="00430797" w:rsidRDefault="00430797"/>
    <w:p w:rsidR="004675EF" w:rsidRDefault="004675EF">
      <w:r w:rsidRPr="004675EF">
        <w:drawing>
          <wp:inline distT="0" distB="0" distL="0" distR="0">
            <wp:extent cx="5553075" cy="3219450"/>
            <wp:effectExtent l="19050" t="0" r="9525" b="0"/>
            <wp:docPr id="4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1EE7" w:rsidRDefault="00FB1EE7"/>
    <w:p w:rsidR="00FB1EE7" w:rsidRDefault="00FB1EE7"/>
    <w:p w:rsidR="00FB1EE7" w:rsidRPr="00177859" w:rsidRDefault="00177859">
      <w:pPr>
        <w:rPr>
          <w:b/>
        </w:rPr>
      </w:pPr>
      <w:r>
        <w:rPr>
          <w:b/>
        </w:rPr>
        <w:t>Have you increased the last published conveyancing tariff?</w:t>
      </w:r>
    </w:p>
    <w:p w:rsidR="00FB1EE7" w:rsidRDefault="00FB1EE7"/>
    <w:p w:rsidR="00FB1EE7" w:rsidRDefault="00FB1EE7">
      <w:r>
        <w:rPr>
          <w:noProof/>
          <w:lang w:eastAsia="en-ZA"/>
        </w:rPr>
        <w:drawing>
          <wp:inline distT="0" distB="0" distL="0" distR="0">
            <wp:extent cx="5553075" cy="29051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75EF" w:rsidRDefault="004675EF"/>
    <w:p w:rsidR="004675EF" w:rsidRDefault="004675EF"/>
    <w:p w:rsidR="00FB1EE7" w:rsidRDefault="00FB1EE7">
      <w:r>
        <w:rPr>
          <w:noProof/>
          <w:lang w:eastAsia="en-ZA"/>
        </w:rPr>
        <w:lastRenderedPageBreak/>
        <w:drawing>
          <wp:inline distT="0" distB="0" distL="0" distR="0">
            <wp:extent cx="5553075" cy="37528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E0886" w:rsidRDefault="004E0886"/>
    <w:p w:rsidR="00430797" w:rsidRDefault="00430797"/>
    <w:p w:rsidR="00177859" w:rsidRDefault="00281312">
      <w:pPr>
        <w:rPr>
          <w:b/>
        </w:rPr>
      </w:pPr>
      <w:r>
        <w:rPr>
          <w:b/>
        </w:rPr>
        <w:t>F</w:t>
      </w:r>
      <w:r w:rsidR="00177859">
        <w:rPr>
          <w:b/>
        </w:rPr>
        <w:t>ee discounting and transactional billing mark-ups</w:t>
      </w:r>
    </w:p>
    <w:p w:rsidR="00177859" w:rsidRDefault="00177859">
      <w:r w:rsidRPr="00177859">
        <w:t>This is an interesting graph showing that almost 80% of firms discount fees at an average rate of 20% with the highest discount offered being 80%.  87% of firms do not mark-up the transactional billing cost and of the remaining 13%</w:t>
      </w:r>
      <w:r>
        <w:t xml:space="preserve"> who do</w:t>
      </w:r>
      <w:r w:rsidRPr="00177859">
        <w:t xml:space="preserve"> the mark-up is only 17%.</w:t>
      </w:r>
    </w:p>
    <w:p w:rsidR="00281312" w:rsidRDefault="00281312"/>
    <w:p w:rsidR="00281312" w:rsidRDefault="00281312">
      <w:r w:rsidRPr="00281312">
        <w:drawing>
          <wp:inline distT="0" distB="0" distL="0" distR="0">
            <wp:extent cx="5553075" cy="2686050"/>
            <wp:effectExtent l="19050" t="0" r="9525" b="0"/>
            <wp:docPr id="47"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0797" w:rsidRDefault="00430797"/>
    <w:p w:rsidR="00430797" w:rsidRPr="00177859" w:rsidRDefault="00430797"/>
    <w:p w:rsidR="004E0886" w:rsidRDefault="004E0886">
      <w:r w:rsidRPr="004E0886">
        <w:lastRenderedPageBreak/>
        <w:drawing>
          <wp:inline distT="0" distB="0" distL="0" distR="0">
            <wp:extent cx="5553075" cy="3819525"/>
            <wp:effectExtent l="19050" t="0" r="9525" b="0"/>
            <wp:docPr id="4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E0886" w:rsidRDefault="004E0886"/>
    <w:tbl>
      <w:tblPr>
        <w:tblStyle w:val="TableGrid"/>
        <w:tblW w:w="0" w:type="auto"/>
        <w:tblInd w:w="915" w:type="dxa"/>
        <w:tblLook w:val="04A0"/>
      </w:tblPr>
      <w:tblGrid>
        <w:gridCol w:w="1766"/>
        <w:gridCol w:w="1680"/>
        <w:gridCol w:w="2410"/>
      </w:tblGrid>
      <w:tr w:rsidR="00281312" w:rsidRPr="00281312" w:rsidTr="00281312">
        <w:trPr>
          <w:trHeight w:val="225"/>
        </w:trPr>
        <w:tc>
          <w:tcPr>
            <w:tcW w:w="5856" w:type="dxa"/>
            <w:gridSpan w:val="3"/>
            <w:noWrap/>
            <w:hideMark/>
          </w:tcPr>
          <w:p w:rsidR="00281312" w:rsidRPr="00281312" w:rsidRDefault="00281312" w:rsidP="00281312">
            <w:pPr>
              <w:rPr>
                <w:b/>
              </w:rPr>
            </w:pPr>
            <w:r w:rsidRPr="00281312">
              <w:rPr>
                <w:b/>
              </w:rPr>
              <w:t>Average fee discounting and transactional billing mark-ups</w:t>
            </w:r>
          </w:p>
        </w:tc>
      </w:tr>
      <w:tr w:rsidR="00281312" w:rsidRPr="00281312" w:rsidTr="00281312">
        <w:trPr>
          <w:trHeight w:val="225"/>
        </w:trPr>
        <w:tc>
          <w:tcPr>
            <w:tcW w:w="1766" w:type="dxa"/>
            <w:noWrap/>
            <w:hideMark/>
          </w:tcPr>
          <w:p w:rsidR="00281312" w:rsidRPr="00281312" w:rsidRDefault="00281312">
            <w:pPr>
              <w:rPr>
                <w:b/>
                <w:bCs/>
              </w:rPr>
            </w:pPr>
          </w:p>
        </w:tc>
        <w:tc>
          <w:tcPr>
            <w:tcW w:w="1680" w:type="dxa"/>
            <w:noWrap/>
            <w:hideMark/>
          </w:tcPr>
          <w:p w:rsidR="00281312" w:rsidRPr="00281312" w:rsidRDefault="00281312" w:rsidP="00281312">
            <w:r>
              <w:t xml:space="preserve">Fee Discount </w:t>
            </w:r>
          </w:p>
        </w:tc>
        <w:tc>
          <w:tcPr>
            <w:tcW w:w="2410" w:type="dxa"/>
            <w:noWrap/>
            <w:hideMark/>
          </w:tcPr>
          <w:p w:rsidR="00281312" w:rsidRPr="00281312" w:rsidRDefault="00281312" w:rsidP="00281312">
            <w:r>
              <w:t>Transactional billing mark-up</w:t>
            </w:r>
          </w:p>
        </w:tc>
      </w:tr>
      <w:tr w:rsidR="00281312" w:rsidRPr="00281312" w:rsidTr="00281312">
        <w:trPr>
          <w:trHeight w:val="225"/>
        </w:trPr>
        <w:tc>
          <w:tcPr>
            <w:tcW w:w="1766" w:type="dxa"/>
            <w:noWrap/>
            <w:hideMark/>
          </w:tcPr>
          <w:p w:rsidR="00281312" w:rsidRPr="00281312" w:rsidRDefault="00281312">
            <w:pPr>
              <w:rPr>
                <w:bCs/>
              </w:rPr>
            </w:pPr>
            <w:r w:rsidRPr="00281312">
              <w:rPr>
                <w:bCs/>
              </w:rPr>
              <w:t>National</w:t>
            </w:r>
          </w:p>
        </w:tc>
        <w:tc>
          <w:tcPr>
            <w:tcW w:w="1680" w:type="dxa"/>
            <w:noWrap/>
            <w:hideMark/>
          </w:tcPr>
          <w:p w:rsidR="00281312" w:rsidRPr="00281312" w:rsidRDefault="00281312" w:rsidP="00281312">
            <w:r w:rsidRPr="00281312">
              <w:t>18</w:t>
            </w:r>
          </w:p>
        </w:tc>
        <w:tc>
          <w:tcPr>
            <w:tcW w:w="2410" w:type="dxa"/>
            <w:noWrap/>
            <w:hideMark/>
          </w:tcPr>
          <w:p w:rsidR="00281312" w:rsidRPr="00281312" w:rsidRDefault="00281312" w:rsidP="00281312">
            <w:r w:rsidRPr="00281312">
              <w:t>17.3</w:t>
            </w:r>
          </w:p>
        </w:tc>
      </w:tr>
      <w:tr w:rsidR="00281312" w:rsidRPr="00281312" w:rsidTr="00281312">
        <w:trPr>
          <w:trHeight w:val="225"/>
        </w:trPr>
        <w:tc>
          <w:tcPr>
            <w:tcW w:w="1766" w:type="dxa"/>
            <w:noWrap/>
            <w:hideMark/>
          </w:tcPr>
          <w:p w:rsidR="00281312" w:rsidRPr="00281312" w:rsidRDefault="00281312">
            <w:pPr>
              <w:rPr>
                <w:bCs/>
              </w:rPr>
            </w:pPr>
            <w:r w:rsidRPr="00281312">
              <w:rPr>
                <w:bCs/>
              </w:rPr>
              <w:t>Bloemfontein</w:t>
            </w:r>
          </w:p>
        </w:tc>
        <w:tc>
          <w:tcPr>
            <w:tcW w:w="1680" w:type="dxa"/>
            <w:noWrap/>
            <w:hideMark/>
          </w:tcPr>
          <w:p w:rsidR="00281312" w:rsidRPr="00281312" w:rsidRDefault="00281312" w:rsidP="00281312">
            <w:r w:rsidRPr="00281312">
              <w:t>18.75</w:t>
            </w:r>
          </w:p>
        </w:tc>
        <w:tc>
          <w:tcPr>
            <w:tcW w:w="2410" w:type="dxa"/>
            <w:noWrap/>
            <w:hideMark/>
          </w:tcPr>
          <w:p w:rsidR="00281312" w:rsidRPr="00281312" w:rsidRDefault="00281312" w:rsidP="00281312">
            <w:r w:rsidRPr="00281312">
              <w:t>12</w:t>
            </w:r>
          </w:p>
        </w:tc>
      </w:tr>
      <w:tr w:rsidR="00281312" w:rsidRPr="00281312" w:rsidTr="00281312">
        <w:trPr>
          <w:trHeight w:val="225"/>
        </w:trPr>
        <w:tc>
          <w:tcPr>
            <w:tcW w:w="1766" w:type="dxa"/>
            <w:noWrap/>
            <w:hideMark/>
          </w:tcPr>
          <w:p w:rsidR="00281312" w:rsidRPr="00281312" w:rsidRDefault="00281312">
            <w:pPr>
              <w:rPr>
                <w:bCs/>
              </w:rPr>
            </w:pPr>
            <w:r w:rsidRPr="00281312">
              <w:rPr>
                <w:bCs/>
              </w:rPr>
              <w:t>Cape Town</w:t>
            </w:r>
          </w:p>
        </w:tc>
        <w:tc>
          <w:tcPr>
            <w:tcW w:w="1680" w:type="dxa"/>
            <w:noWrap/>
            <w:hideMark/>
          </w:tcPr>
          <w:p w:rsidR="00281312" w:rsidRPr="00281312" w:rsidRDefault="00281312" w:rsidP="00281312">
            <w:r w:rsidRPr="00281312">
              <w:t>19.1</w:t>
            </w:r>
          </w:p>
        </w:tc>
        <w:tc>
          <w:tcPr>
            <w:tcW w:w="2410" w:type="dxa"/>
            <w:noWrap/>
            <w:hideMark/>
          </w:tcPr>
          <w:p w:rsidR="00281312" w:rsidRPr="00281312" w:rsidRDefault="00281312" w:rsidP="00281312">
            <w:r w:rsidRPr="00281312">
              <w:t>20</w:t>
            </w:r>
          </w:p>
        </w:tc>
      </w:tr>
      <w:tr w:rsidR="00281312" w:rsidRPr="00281312" w:rsidTr="00281312">
        <w:trPr>
          <w:trHeight w:val="225"/>
        </w:trPr>
        <w:tc>
          <w:tcPr>
            <w:tcW w:w="1766" w:type="dxa"/>
            <w:noWrap/>
            <w:hideMark/>
          </w:tcPr>
          <w:p w:rsidR="00281312" w:rsidRPr="00281312" w:rsidRDefault="00281312">
            <w:pPr>
              <w:rPr>
                <w:bCs/>
              </w:rPr>
            </w:pPr>
            <w:r w:rsidRPr="00281312">
              <w:rPr>
                <w:bCs/>
              </w:rPr>
              <w:t>Durban</w:t>
            </w:r>
          </w:p>
        </w:tc>
        <w:tc>
          <w:tcPr>
            <w:tcW w:w="1680" w:type="dxa"/>
            <w:noWrap/>
            <w:hideMark/>
          </w:tcPr>
          <w:p w:rsidR="00281312" w:rsidRPr="00281312" w:rsidRDefault="00281312" w:rsidP="00281312">
            <w:r w:rsidRPr="00281312">
              <w:t>17.19</w:t>
            </w:r>
          </w:p>
        </w:tc>
        <w:tc>
          <w:tcPr>
            <w:tcW w:w="2410" w:type="dxa"/>
            <w:noWrap/>
            <w:hideMark/>
          </w:tcPr>
          <w:p w:rsidR="00281312" w:rsidRPr="00281312" w:rsidRDefault="00281312" w:rsidP="00281312">
            <w:r w:rsidRPr="00281312">
              <w:t>12.9</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Jhb</w:t>
            </w:r>
            <w:proofErr w:type="spellEnd"/>
            <w:r w:rsidRPr="00281312">
              <w:rPr>
                <w:bCs/>
              </w:rPr>
              <w:t xml:space="preserve"> - East</w:t>
            </w:r>
          </w:p>
        </w:tc>
        <w:tc>
          <w:tcPr>
            <w:tcW w:w="1680" w:type="dxa"/>
            <w:noWrap/>
            <w:hideMark/>
          </w:tcPr>
          <w:p w:rsidR="00281312" w:rsidRPr="00281312" w:rsidRDefault="00281312" w:rsidP="00281312">
            <w:r w:rsidRPr="00281312">
              <w:t>15.5</w:t>
            </w:r>
          </w:p>
        </w:tc>
        <w:tc>
          <w:tcPr>
            <w:tcW w:w="2410" w:type="dxa"/>
            <w:noWrap/>
            <w:hideMark/>
          </w:tcPr>
          <w:p w:rsidR="00281312" w:rsidRPr="00281312" w:rsidRDefault="00281312" w:rsidP="00281312">
            <w:r w:rsidRPr="00281312">
              <w:t>5</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Jhb</w:t>
            </w:r>
            <w:proofErr w:type="spellEnd"/>
            <w:r w:rsidRPr="00281312">
              <w:rPr>
                <w:bCs/>
              </w:rPr>
              <w:t xml:space="preserve"> - </w:t>
            </w:r>
            <w:proofErr w:type="spellStart"/>
            <w:r w:rsidRPr="00281312">
              <w:rPr>
                <w:bCs/>
              </w:rPr>
              <w:t>Sandton</w:t>
            </w:r>
            <w:proofErr w:type="spellEnd"/>
          </w:p>
        </w:tc>
        <w:tc>
          <w:tcPr>
            <w:tcW w:w="1680" w:type="dxa"/>
            <w:noWrap/>
            <w:hideMark/>
          </w:tcPr>
          <w:p w:rsidR="00281312" w:rsidRPr="00281312" w:rsidRDefault="00281312" w:rsidP="00281312">
            <w:r w:rsidRPr="00281312">
              <w:t>21.4</w:t>
            </w:r>
          </w:p>
        </w:tc>
        <w:tc>
          <w:tcPr>
            <w:tcW w:w="2410" w:type="dxa"/>
            <w:noWrap/>
            <w:hideMark/>
          </w:tcPr>
          <w:p w:rsidR="00281312" w:rsidRPr="00281312" w:rsidRDefault="00281312" w:rsidP="00281312">
            <w:r w:rsidRPr="00281312">
              <w:t>23.7</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Jhb</w:t>
            </w:r>
            <w:proofErr w:type="spellEnd"/>
            <w:r w:rsidRPr="00281312">
              <w:rPr>
                <w:bCs/>
              </w:rPr>
              <w:t xml:space="preserve"> - South</w:t>
            </w:r>
          </w:p>
        </w:tc>
        <w:tc>
          <w:tcPr>
            <w:tcW w:w="1680" w:type="dxa"/>
            <w:noWrap/>
            <w:hideMark/>
          </w:tcPr>
          <w:p w:rsidR="00281312" w:rsidRPr="00281312" w:rsidRDefault="00281312" w:rsidP="00281312">
            <w:r w:rsidRPr="00281312">
              <w:t>23.8</w:t>
            </w:r>
          </w:p>
        </w:tc>
        <w:tc>
          <w:tcPr>
            <w:tcW w:w="2410" w:type="dxa"/>
            <w:noWrap/>
            <w:hideMark/>
          </w:tcPr>
          <w:p w:rsidR="00281312" w:rsidRPr="00281312" w:rsidRDefault="00281312" w:rsidP="00281312">
            <w:r w:rsidRPr="00281312">
              <w:t>14</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Jhb</w:t>
            </w:r>
            <w:proofErr w:type="spellEnd"/>
            <w:r w:rsidRPr="00281312">
              <w:rPr>
                <w:bCs/>
              </w:rPr>
              <w:t xml:space="preserve"> - West</w:t>
            </w:r>
          </w:p>
        </w:tc>
        <w:tc>
          <w:tcPr>
            <w:tcW w:w="1680" w:type="dxa"/>
            <w:noWrap/>
            <w:hideMark/>
          </w:tcPr>
          <w:p w:rsidR="00281312" w:rsidRPr="00281312" w:rsidRDefault="00281312" w:rsidP="00281312">
            <w:r w:rsidRPr="00281312">
              <w:t>18.7</w:t>
            </w:r>
          </w:p>
        </w:tc>
        <w:tc>
          <w:tcPr>
            <w:tcW w:w="2410" w:type="dxa"/>
            <w:noWrap/>
            <w:hideMark/>
          </w:tcPr>
          <w:p w:rsidR="00281312" w:rsidRPr="00281312" w:rsidRDefault="00281312" w:rsidP="00281312">
            <w:r w:rsidRPr="00281312">
              <w:t>33.9</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Neslpruit</w:t>
            </w:r>
            <w:proofErr w:type="spellEnd"/>
          </w:p>
        </w:tc>
        <w:tc>
          <w:tcPr>
            <w:tcW w:w="1680" w:type="dxa"/>
            <w:noWrap/>
            <w:hideMark/>
          </w:tcPr>
          <w:p w:rsidR="00281312" w:rsidRPr="00281312" w:rsidRDefault="00281312" w:rsidP="00281312">
            <w:r w:rsidRPr="00281312">
              <w:t>14.58</w:t>
            </w:r>
          </w:p>
        </w:tc>
        <w:tc>
          <w:tcPr>
            <w:tcW w:w="2410" w:type="dxa"/>
            <w:noWrap/>
            <w:hideMark/>
          </w:tcPr>
          <w:p w:rsidR="00281312" w:rsidRPr="00281312" w:rsidRDefault="00281312" w:rsidP="00281312">
            <w:r w:rsidRPr="00281312">
              <w:t>0</w:t>
            </w:r>
          </w:p>
        </w:tc>
      </w:tr>
      <w:tr w:rsidR="00281312" w:rsidRPr="00281312" w:rsidTr="00281312">
        <w:trPr>
          <w:trHeight w:val="225"/>
        </w:trPr>
        <w:tc>
          <w:tcPr>
            <w:tcW w:w="1766" w:type="dxa"/>
            <w:noWrap/>
            <w:hideMark/>
          </w:tcPr>
          <w:p w:rsidR="00281312" w:rsidRPr="00281312" w:rsidRDefault="00281312">
            <w:pPr>
              <w:rPr>
                <w:bCs/>
              </w:rPr>
            </w:pPr>
            <w:r w:rsidRPr="00281312">
              <w:rPr>
                <w:bCs/>
              </w:rPr>
              <w:t>PE/EL</w:t>
            </w:r>
          </w:p>
        </w:tc>
        <w:tc>
          <w:tcPr>
            <w:tcW w:w="1680" w:type="dxa"/>
            <w:noWrap/>
            <w:hideMark/>
          </w:tcPr>
          <w:p w:rsidR="00281312" w:rsidRPr="00281312" w:rsidRDefault="00281312" w:rsidP="00281312">
            <w:r w:rsidRPr="00281312">
              <w:t>16</w:t>
            </w:r>
          </w:p>
        </w:tc>
        <w:tc>
          <w:tcPr>
            <w:tcW w:w="2410" w:type="dxa"/>
            <w:noWrap/>
            <w:hideMark/>
          </w:tcPr>
          <w:p w:rsidR="00281312" w:rsidRPr="00281312" w:rsidRDefault="00281312" w:rsidP="00281312">
            <w:r w:rsidRPr="00281312">
              <w:t>25</w:t>
            </w:r>
          </w:p>
        </w:tc>
      </w:tr>
      <w:tr w:rsidR="00281312" w:rsidRPr="00281312" w:rsidTr="00281312">
        <w:trPr>
          <w:trHeight w:val="225"/>
        </w:trPr>
        <w:tc>
          <w:tcPr>
            <w:tcW w:w="1766" w:type="dxa"/>
            <w:noWrap/>
            <w:hideMark/>
          </w:tcPr>
          <w:p w:rsidR="00281312" w:rsidRPr="00281312" w:rsidRDefault="00281312">
            <w:pPr>
              <w:rPr>
                <w:bCs/>
              </w:rPr>
            </w:pPr>
            <w:r w:rsidRPr="00281312">
              <w:rPr>
                <w:bCs/>
              </w:rPr>
              <w:t>Pietermaritzburg</w:t>
            </w:r>
          </w:p>
        </w:tc>
        <w:tc>
          <w:tcPr>
            <w:tcW w:w="1680" w:type="dxa"/>
            <w:noWrap/>
            <w:hideMark/>
          </w:tcPr>
          <w:p w:rsidR="00281312" w:rsidRPr="00281312" w:rsidRDefault="00281312" w:rsidP="00281312">
            <w:r w:rsidRPr="00281312">
              <w:t>17.7</w:t>
            </w:r>
          </w:p>
        </w:tc>
        <w:tc>
          <w:tcPr>
            <w:tcW w:w="2410" w:type="dxa"/>
            <w:noWrap/>
            <w:hideMark/>
          </w:tcPr>
          <w:p w:rsidR="00281312" w:rsidRPr="00281312" w:rsidRDefault="00281312" w:rsidP="00281312">
            <w:r w:rsidRPr="00281312">
              <w:t>9</w:t>
            </w:r>
          </w:p>
        </w:tc>
      </w:tr>
      <w:tr w:rsidR="00281312" w:rsidRPr="00281312" w:rsidTr="00281312">
        <w:trPr>
          <w:trHeight w:val="225"/>
        </w:trPr>
        <w:tc>
          <w:tcPr>
            <w:tcW w:w="1766" w:type="dxa"/>
            <w:noWrap/>
            <w:hideMark/>
          </w:tcPr>
          <w:p w:rsidR="00281312" w:rsidRPr="00281312" w:rsidRDefault="00281312">
            <w:pPr>
              <w:rPr>
                <w:bCs/>
              </w:rPr>
            </w:pPr>
            <w:proofErr w:type="spellStart"/>
            <w:r w:rsidRPr="00281312">
              <w:rPr>
                <w:bCs/>
              </w:rPr>
              <w:t>Polokwane</w:t>
            </w:r>
            <w:proofErr w:type="spellEnd"/>
          </w:p>
        </w:tc>
        <w:tc>
          <w:tcPr>
            <w:tcW w:w="1680" w:type="dxa"/>
            <w:noWrap/>
            <w:hideMark/>
          </w:tcPr>
          <w:p w:rsidR="00281312" w:rsidRPr="00281312" w:rsidRDefault="00281312" w:rsidP="00281312">
            <w:r w:rsidRPr="00281312">
              <w:t>18</w:t>
            </w:r>
          </w:p>
        </w:tc>
        <w:tc>
          <w:tcPr>
            <w:tcW w:w="2410" w:type="dxa"/>
            <w:noWrap/>
            <w:hideMark/>
          </w:tcPr>
          <w:p w:rsidR="00281312" w:rsidRPr="00281312" w:rsidRDefault="00281312" w:rsidP="00281312">
            <w:r w:rsidRPr="00281312">
              <w:t>10</w:t>
            </w:r>
          </w:p>
        </w:tc>
      </w:tr>
      <w:tr w:rsidR="00281312" w:rsidRPr="00281312" w:rsidTr="00281312">
        <w:trPr>
          <w:trHeight w:val="225"/>
        </w:trPr>
        <w:tc>
          <w:tcPr>
            <w:tcW w:w="1766" w:type="dxa"/>
            <w:noWrap/>
            <w:hideMark/>
          </w:tcPr>
          <w:p w:rsidR="00281312" w:rsidRPr="00281312" w:rsidRDefault="00281312">
            <w:pPr>
              <w:rPr>
                <w:bCs/>
              </w:rPr>
            </w:pPr>
            <w:r w:rsidRPr="00281312">
              <w:rPr>
                <w:bCs/>
              </w:rPr>
              <w:t>Potchefstroom</w:t>
            </w:r>
          </w:p>
        </w:tc>
        <w:tc>
          <w:tcPr>
            <w:tcW w:w="1680" w:type="dxa"/>
            <w:noWrap/>
            <w:hideMark/>
          </w:tcPr>
          <w:p w:rsidR="00281312" w:rsidRPr="00281312" w:rsidRDefault="00281312" w:rsidP="00281312">
            <w:r w:rsidRPr="00281312">
              <w:t>12.3</w:t>
            </w:r>
          </w:p>
        </w:tc>
        <w:tc>
          <w:tcPr>
            <w:tcW w:w="2410" w:type="dxa"/>
            <w:noWrap/>
            <w:hideMark/>
          </w:tcPr>
          <w:p w:rsidR="00281312" w:rsidRPr="00281312" w:rsidRDefault="00281312" w:rsidP="00281312">
            <w:r w:rsidRPr="00281312">
              <w:t>0</w:t>
            </w:r>
          </w:p>
        </w:tc>
      </w:tr>
      <w:tr w:rsidR="00281312" w:rsidRPr="00281312" w:rsidTr="00281312">
        <w:trPr>
          <w:trHeight w:val="225"/>
        </w:trPr>
        <w:tc>
          <w:tcPr>
            <w:tcW w:w="1766" w:type="dxa"/>
            <w:noWrap/>
            <w:hideMark/>
          </w:tcPr>
          <w:p w:rsidR="00281312" w:rsidRPr="00281312" w:rsidRDefault="00281312">
            <w:pPr>
              <w:rPr>
                <w:bCs/>
              </w:rPr>
            </w:pPr>
            <w:r w:rsidRPr="00281312">
              <w:rPr>
                <w:bCs/>
              </w:rPr>
              <w:t>Pretoria</w:t>
            </w:r>
          </w:p>
        </w:tc>
        <w:tc>
          <w:tcPr>
            <w:tcW w:w="1680" w:type="dxa"/>
            <w:noWrap/>
            <w:hideMark/>
          </w:tcPr>
          <w:p w:rsidR="00281312" w:rsidRPr="00281312" w:rsidRDefault="00281312" w:rsidP="00281312">
            <w:r w:rsidRPr="00281312">
              <w:t>19.1</w:t>
            </w:r>
          </w:p>
        </w:tc>
        <w:tc>
          <w:tcPr>
            <w:tcW w:w="2410" w:type="dxa"/>
            <w:noWrap/>
            <w:hideMark/>
          </w:tcPr>
          <w:p w:rsidR="00281312" w:rsidRPr="00281312" w:rsidRDefault="00281312" w:rsidP="00281312">
            <w:r w:rsidRPr="00281312">
              <w:t>14.1</w:t>
            </w:r>
          </w:p>
        </w:tc>
      </w:tr>
      <w:tr w:rsidR="00281312" w:rsidRPr="00281312" w:rsidTr="00281312">
        <w:trPr>
          <w:trHeight w:val="225"/>
        </w:trPr>
        <w:tc>
          <w:tcPr>
            <w:tcW w:w="1766" w:type="dxa"/>
            <w:noWrap/>
            <w:hideMark/>
          </w:tcPr>
          <w:p w:rsidR="00281312" w:rsidRPr="00281312" w:rsidRDefault="00281312"/>
        </w:tc>
        <w:tc>
          <w:tcPr>
            <w:tcW w:w="1680" w:type="dxa"/>
            <w:noWrap/>
            <w:hideMark/>
          </w:tcPr>
          <w:p w:rsidR="00281312" w:rsidRPr="00281312" w:rsidRDefault="00281312"/>
        </w:tc>
        <w:tc>
          <w:tcPr>
            <w:tcW w:w="2410" w:type="dxa"/>
            <w:noWrap/>
            <w:hideMark/>
          </w:tcPr>
          <w:p w:rsidR="00281312" w:rsidRPr="00281312" w:rsidRDefault="00281312"/>
        </w:tc>
      </w:tr>
    </w:tbl>
    <w:p w:rsidR="004E0886" w:rsidRDefault="004E0886"/>
    <w:p w:rsidR="00281312" w:rsidRDefault="00281312"/>
    <w:p w:rsidR="00281312" w:rsidRDefault="00281312">
      <w:pPr>
        <w:rPr>
          <w:b/>
        </w:rPr>
      </w:pPr>
      <w:r>
        <w:rPr>
          <w:b/>
        </w:rPr>
        <w:t>Conveyancer/Secretary ratio</w:t>
      </w:r>
    </w:p>
    <w:p w:rsidR="00281312" w:rsidRDefault="00281312">
      <w:r>
        <w:t>The average has moved from over 2 secretaries per conveyancer since our first survey in 2005.</w:t>
      </w:r>
    </w:p>
    <w:p w:rsidR="00430797" w:rsidRPr="00281312" w:rsidRDefault="00430797"/>
    <w:p w:rsidR="00FB1EE7" w:rsidRDefault="00FB1EE7">
      <w:r>
        <w:rPr>
          <w:noProof/>
          <w:lang w:eastAsia="en-ZA"/>
        </w:rPr>
        <w:lastRenderedPageBreak/>
        <w:drawing>
          <wp:inline distT="0" distB="0" distL="0" distR="0">
            <wp:extent cx="5572125" cy="322897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1EE7" w:rsidRDefault="00FB1EE7"/>
    <w:p w:rsidR="00281312" w:rsidRDefault="00281312"/>
    <w:p w:rsidR="00281312" w:rsidRDefault="00281312">
      <w:pPr>
        <w:rPr>
          <w:b/>
        </w:rPr>
      </w:pPr>
      <w:r>
        <w:rPr>
          <w:b/>
        </w:rPr>
        <w:t>Salaries of conveyancing secretaries</w:t>
      </w:r>
    </w:p>
    <w:p w:rsidR="00281312" w:rsidRPr="00281312" w:rsidRDefault="00281312" w:rsidP="00281312">
      <w:r w:rsidRPr="00281312">
        <w:t xml:space="preserve">Interesting and worthy maybe of a survey by itself, on average secretaries in </w:t>
      </w:r>
      <w:proofErr w:type="spellStart"/>
      <w:r w:rsidRPr="00281312">
        <w:t>Sandton</w:t>
      </w:r>
      <w:proofErr w:type="spellEnd"/>
      <w:r w:rsidRPr="00281312">
        <w:t xml:space="preserve"> do well, yet the average matters lodged per month or which are active are in line with the natio</w:t>
      </w:r>
      <w:r w:rsidR="00480A1B">
        <w:t>nal average.</w:t>
      </w:r>
    </w:p>
    <w:p w:rsidR="00281312" w:rsidRPr="00281312" w:rsidRDefault="00281312"/>
    <w:p w:rsidR="00FB1EE7" w:rsidRDefault="00FB1EE7">
      <w:r>
        <w:rPr>
          <w:noProof/>
          <w:lang w:eastAsia="en-ZA"/>
        </w:rPr>
        <w:lastRenderedPageBreak/>
        <w:drawing>
          <wp:inline distT="0" distB="0" distL="0" distR="0">
            <wp:extent cx="5572125" cy="5514975"/>
            <wp:effectExtent l="19050" t="0" r="952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B1EE7" w:rsidRDefault="00FB1EE7">
      <w:r>
        <w:rPr>
          <w:noProof/>
          <w:lang w:eastAsia="en-ZA"/>
        </w:rPr>
        <w:lastRenderedPageBreak/>
        <w:drawing>
          <wp:inline distT="0" distB="0" distL="0" distR="0">
            <wp:extent cx="5543550" cy="5895975"/>
            <wp:effectExtent l="19050" t="0" r="1905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B1EE7" w:rsidRDefault="00FB1EE7"/>
    <w:p w:rsidR="00FB1EE7" w:rsidRDefault="00FB1EE7"/>
    <w:p w:rsidR="00430797" w:rsidRDefault="00430797"/>
    <w:p w:rsidR="00430797" w:rsidRDefault="00430797"/>
    <w:p w:rsidR="00430797" w:rsidRDefault="00430797"/>
    <w:p w:rsidR="00430797" w:rsidRDefault="00430797"/>
    <w:p w:rsidR="00430797" w:rsidRDefault="00430797"/>
    <w:p w:rsidR="00430797" w:rsidRDefault="00430797"/>
    <w:p w:rsidR="00430797" w:rsidRDefault="00430797"/>
    <w:p w:rsidR="00FB1EE7" w:rsidRDefault="00480A1B">
      <w:pPr>
        <w:rPr>
          <w:b/>
        </w:rPr>
      </w:pPr>
      <w:r>
        <w:rPr>
          <w:b/>
        </w:rPr>
        <w:t>Matters lodged per secretary per month</w:t>
      </w:r>
      <w:r w:rsidR="00430797">
        <w:rPr>
          <w:b/>
        </w:rPr>
        <w:t xml:space="preserve"> and Active matters per secretary per month</w:t>
      </w:r>
    </w:p>
    <w:p w:rsidR="00480A1B" w:rsidRPr="00480A1B" w:rsidRDefault="00480A1B">
      <w:pPr>
        <w:rPr>
          <w:b/>
        </w:rPr>
      </w:pPr>
    </w:p>
    <w:p w:rsidR="00FB1EE7" w:rsidRDefault="00FB1EE7">
      <w:r>
        <w:rPr>
          <w:noProof/>
          <w:lang w:eastAsia="en-ZA"/>
        </w:rPr>
        <w:lastRenderedPageBreak/>
        <w:drawing>
          <wp:inline distT="0" distB="0" distL="0" distR="0">
            <wp:extent cx="5572125" cy="3219450"/>
            <wp:effectExtent l="19050" t="0" r="9525" b="0"/>
            <wp:docPr id="3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E0886" w:rsidRDefault="004E0886"/>
    <w:p w:rsidR="004E0886" w:rsidRDefault="004E0886"/>
    <w:p w:rsidR="00FB1EE7" w:rsidRDefault="00FB1EE7">
      <w:r>
        <w:rPr>
          <w:noProof/>
          <w:lang w:eastAsia="en-ZA"/>
        </w:rPr>
        <w:drawing>
          <wp:inline distT="0" distB="0" distL="0" distR="0">
            <wp:extent cx="5572125" cy="3190875"/>
            <wp:effectExtent l="19050" t="0" r="9525" b="0"/>
            <wp:docPr id="3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E3FEF" w:rsidRDefault="00CE3FEF" w:rsidP="00CE3FEF">
      <w:pPr>
        <w:rPr>
          <w:b/>
          <w:bCs/>
        </w:rPr>
      </w:pPr>
    </w:p>
    <w:p w:rsidR="00430797" w:rsidRDefault="00430797" w:rsidP="00CE3FEF">
      <w:pPr>
        <w:rPr>
          <w:b/>
          <w:bCs/>
        </w:rPr>
      </w:pPr>
    </w:p>
    <w:p w:rsidR="00430797" w:rsidRDefault="00430797" w:rsidP="00CE3FEF">
      <w:pPr>
        <w:rPr>
          <w:b/>
          <w:bCs/>
        </w:rPr>
      </w:pPr>
    </w:p>
    <w:p w:rsidR="00CE3FEF" w:rsidRPr="00CE3FEF" w:rsidRDefault="00CE3FEF" w:rsidP="00CE3FEF">
      <w:pPr>
        <w:rPr>
          <w:b/>
          <w:bCs/>
        </w:rPr>
      </w:pPr>
      <w:r w:rsidRPr="00CE3FEF">
        <w:rPr>
          <w:b/>
          <w:bCs/>
        </w:rPr>
        <w:t>Incentivising</w:t>
      </w:r>
    </w:p>
    <w:p w:rsidR="00CE3FEF" w:rsidRPr="00CE3FEF" w:rsidRDefault="00CE3FEF" w:rsidP="00CE3FEF">
      <w:pPr>
        <w:rPr>
          <w:bCs/>
        </w:rPr>
      </w:pPr>
      <w:r w:rsidRPr="00CE3FEF">
        <w:rPr>
          <w:bCs/>
        </w:rPr>
        <w:t>Less than 20% of firms incentivise, so no graph is necessary.</w:t>
      </w:r>
    </w:p>
    <w:p w:rsidR="00CE3FEF" w:rsidRDefault="00CE3FEF" w:rsidP="00CE3FEF">
      <w:pPr>
        <w:rPr>
          <w:b/>
          <w:bCs/>
        </w:rPr>
      </w:pPr>
    </w:p>
    <w:p w:rsidR="00CE3FEF" w:rsidRPr="00CE3FEF" w:rsidRDefault="00CE3FEF" w:rsidP="00CE3FEF">
      <w:pPr>
        <w:rPr>
          <w:b/>
          <w:bCs/>
        </w:rPr>
      </w:pPr>
      <w:r w:rsidRPr="00CE3FEF">
        <w:rPr>
          <w:b/>
          <w:bCs/>
        </w:rPr>
        <w:t>Downturn</w:t>
      </w:r>
    </w:p>
    <w:p w:rsidR="00CE3FEF" w:rsidRPr="00CE3FEF" w:rsidRDefault="00CE3FEF" w:rsidP="00CE3FEF">
      <w:pPr>
        <w:rPr>
          <w:bCs/>
        </w:rPr>
      </w:pPr>
      <w:r w:rsidRPr="00CE3FEF">
        <w:rPr>
          <w:bCs/>
        </w:rPr>
        <w:lastRenderedPageBreak/>
        <w:t>Almost all firms have had a downturn.</w:t>
      </w:r>
    </w:p>
    <w:p w:rsidR="00683895" w:rsidRDefault="00683895"/>
    <w:p w:rsidR="00480A1B" w:rsidRDefault="00480A1B">
      <w:pPr>
        <w:rPr>
          <w:b/>
        </w:rPr>
      </w:pPr>
      <w:r>
        <w:rPr>
          <w:b/>
        </w:rPr>
        <w:t>Other comments, notes and conclusions</w:t>
      </w:r>
    </w:p>
    <w:p w:rsidR="000F5CF5" w:rsidRPr="00430797" w:rsidRDefault="000F5CF5">
      <w:r w:rsidRPr="00430797">
        <w:t>I have included the following comments and notes from respondents to stimulate some debate and more contributions about future surveys.</w:t>
      </w:r>
    </w:p>
    <w:p w:rsidR="00480A1B" w:rsidRPr="000F5CF5" w:rsidRDefault="00D9516B">
      <w:pPr>
        <w:rPr>
          <w:i/>
        </w:rPr>
      </w:pPr>
      <w:r w:rsidRPr="000F5CF5">
        <w:rPr>
          <w:i/>
        </w:rPr>
        <w:t xml:space="preserve">Die </w:t>
      </w:r>
      <w:proofErr w:type="spellStart"/>
      <w:r w:rsidRPr="000F5CF5">
        <w:rPr>
          <w:i/>
        </w:rPr>
        <w:t>probleem</w:t>
      </w:r>
      <w:proofErr w:type="spellEnd"/>
      <w:r w:rsidRPr="000F5CF5">
        <w:rPr>
          <w:i/>
        </w:rPr>
        <w:t xml:space="preserve"> in die </w:t>
      </w:r>
      <w:proofErr w:type="spellStart"/>
      <w:r w:rsidRPr="000F5CF5">
        <w:rPr>
          <w:i/>
        </w:rPr>
        <w:t>professie</w:t>
      </w:r>
      <w:proofErr w:type="spellEnd"/>
      <w:r w:rsidRPr="000F5CF5">
        <w:rPr>
          <w:i/>
        </w:rPr>
        <w:t xml:space="preserve"> met transport </w:t>
      </w:r>
      <w:proofErr w:type="spellStart"/>
      <w:r w:rsidRPr="000F5CF5">
        <w:rPr>
          <w:i/>
        </w:rPr>
        <w:t>werk</w:t>
      </w:r>
      <w:proofErr w:type="spellEnd"/>
      <w:r w:rsidRPr="000F5CF5">
        <w:rPr>
          <w:i/>
        </w:rPr>
        <w:t xml:space="preserve"> is </w:t>
      </w:r>
      <w:proofErr w:type="spellStart"/>
      <w:r w:rsidRPr="000F5CF5">
        <w:rPr>
          <w:i/>
        </w:rPr>
        <w:t>dat</w:t>
      </w:r>
      <w:proofErr w:type="spellEnd"/>
      <w:r w:rsidRPr="000F5CF5">
        <w:rPr>
          <w:i/>
        </w:rPr>
        <w:t xml:space="preserve"> die </w:t>
      </w:r>
      <w:proofErr w:type="spellStart"/>
      <w:r w:rsidRPr="000F5CF5">
        <w:rPr>
          <w:i/>
        </w:rPr>
        <w:t>eiendomsagent</w:t>
      </w:r>
      <w:proofErr w:type="spellEnd"/>
      <w:r w:rsidRPr="000F5CF5">
        <w:rPr>
          <w:i/>
        </w:rPr>
        <w:t xml:space="preserve"> </w:t>
      </w:r>
      <w:proofErr w:type="gramStart"/>
      <w:r w:rsidRPr="000F5CF5">
        <w:rPr>
          <w:i/>
        </w:rPr>
        <w:t>in  90</w:t>
      </w:r>
      <w:proofErr w:type="gramEnd"/>
      <w:r w:rsidRPr="000F5CF5">
        <w:rPr>
          <w:i/>
        </w:rPr>
        <w:t xml:space="preserve">% van die </w:t>
      </w:r>
      <w:proofErr w:type="spellStart"/>
      <w:r w:rsidRPr="000F5CF5">
        <w:rPr>
          <w:i/>
        </w:rPr>
        <w:t>gevalle</w:t>
      </w:r>
      <w:proofErr w:type="spellEnd"/>
      <w:r w:rsidRPr="000F5CF5">
        <w:rPr>
          <w:i/>
        </w:rPr>
        <w:t xml:space="preserve"> die transport </w:t>
      </w:r>
      <w:proofErr w:type="spellStart"/>
      <w:r w:rsidRPr="000F5CF5">
        <w:rPr>
          <w:i/>
        </w:rPr>
        <w:t>prokureur</w:t>
      </w:r>
      <w:proofErr w:type="spellEnd"/>
      <w:r w:rsidRPr="000F5CF5">
        <w:rPr>
          <w:i/>
        </w:rPr>
        <w:t xml:space="preserve"> </w:t>
      </w:r>
      <w:proofErr w:type="spellStart"/>
      <w:r w:rsidRPr="000F5CF5">
        <w:rPr>
          <w:i/>
        </w:rPr>
        <w:t>aanwys</w:t>
      </w:r>
      <w:proofErr w:type="spellEnd"/>
      <w:r w:rsidRPr="000F5CF5">
        <w:rPr>
          <w:i/>
        </w:rPr>
        <w:t xml:space="preserve">. Die </w:t>
      </w:r>
      <w:proofErr w:type="spellStart"/>
      <w:r w:rsidRPr="000F5CF5">
        <w:rPr>
          <w:i/>
        </w:rPr>
        <w:t>feit</w:t>
      </w:r>
      <w:proofErr w:type="spellEnd"/>
      <w:r w:rsidRPr="000F5CF5">
        <w:rPr>
          <w:i/>
        </w:rPr>
        <w:t xml:space="preserve"> </w:t>
      </w:r>
      <w:proofErr w:type="spellStart"/>
      <w:r w:rsidRPr="000F5CF5">
        <w:rPr>
          <w:i/>
        </w:rPr>
        <w:t>dat</w:t>
      </w:r>
      <w:proofErr w:type="spellEnd"/>
      <w:r w:rsidRPr="000F5CF5">
        <w:rPr>
          <w:i/>
        </w:rPr>
        <w:t xml:space="preserve"> die </w:t>
      </w:r>
      <w:proofErr w:type="spellStart"/>
      <w:r w:rsidRPr="000F5CF5">
        <w:rPr>
          <w:i/>
        </w:rPr>
        <w:t>Verkoper</w:t>
      </w:r>
      <w:proofErr w:type="spellEnd"/>
      <w:r w:rsidRPr="000F5CF5">
        <w:rPr>
          <w:i/>
        </w:rPr>
        <w:t xml:space="preserve"> die </w:t>
      </w:r>
      <w:proofErr w:type="spellStart"/>
      <w:r w:rsidRPr="000F5CF5">
        <w:rPr>
          <w:i/>
        </w:rPr>
        <w:t>reg</w:t>
      </w:r>
      <w:proofErr w:type="spellEnd"/>
      <w:r w:rsidRPr="000F5CF5">
        <w:rPr>
          <w:i/>
        </w:rPr>
        <w:t xml:space="preserve"> het </w:t>
      </w:r>
      <w:proofErr w:type="spellStart"/>
      <w:proofErr w:type="gramStart"/>
      <w:r w:rsidRPr="000F5CF5">
        <w:rPr>
          <w:i/>
        </w:rPr>
        <w:t>om</w:t>
      </w:r>
      <w:proofErr w:type="spellEnd"/>
      <w:proofErr w:type="gramEnd"/>
      <w:r w:rsidRPr="000F5CF5">
        <w:rPr>
          <w:i/>
        </w:rPr>
        <w:t xml:space="preserve"> </w:t>
      </w:r>
      <w:proofErr w:type="spellStart"/>
      <w:r w:rsidRPr="000F5CF5">
        <w:rPr>
          <w:i/>
        </w:rPr>
        <w:t>een</w:t>
      </w:r>
      <w:proofErr w:type="spellEnd"/>
      <w:r w:rsidRPr="000F5CF5">
        <w:rPr>
          <w:i/>
        </w:rPr>
        <w:t xml:space="preserve"> </w:t>
      </w:r>
      <w:proofErr w:type="spellStart"/>
      <w:r w:rsidRPr="000F5CF5">
        <w:rPr>
          <w:i/>
        </w:rPr>
        <w:t>aan</w:t>
      </w:r>
      <w:proofErr w:type="spellEnd"/>
      <w:r w:rsidRPr="000F5CF5">
        <w:rPr>
          <w:i/>
        </w:rPr>
        <w:t xml:space="preserve"> </w:t>
      </w:r>
      <w:proofErr w:type="spellStart"/>
      <w:r w:rsidRPr="000F5CF5">
        <w:rPr>
          <w:i/>
        </w:rPr>
        <w:t>te</w:t>
      </w:r>
      <w:proofErr w:type="spellEnd"/>
      <w:r w:rsidRPr="000F5CF5">
        <w:rPr>
          <w:i/>
        </w:rPr>
        <w:t xml:space="preserve"> </w:t>
      </w:r>
      <w:proofErr w:type="spellStart"/>
      <w:r w:rsidRPr="000F5CF5">
        <w:rPr>
          <w:i/>
        </w:rPr>
        <w:t>wys</w:t>
      </w:r>
      <w:proofErr w:type="spellEnd"/>
      <w:r w:rsidRPr="000F5CF5">
        <w:rPr>
          <w:i/>
        </w:rPr>
        <w:t xml:space="preserve"> is 'n </w:t>
      </w:r>
      <w:proofErr w:type="spellStart"/>
      <w:r w:rsidRPr="000F5CF5">
        <w:rPr>
          <w:i/>
        </w:rPr>
        <w:t>klug</w:t>
      </w:r>
      <w:proofErr w:type="spellEnd"/>
      <w:r w:rsidRPr="000F5CF5">
        <w:rPr>
          <w:i/>
        </w:rPr>
        <w:t xml:space="preserve">. Die </w:t>
      </w:r>
      <w:proofErr w:type="spellStart"/>
      <w:r w:rsidRPr="000F5CF5">
        <w:rPr>
          <w:i/>
        </w:rPr>
        <w:t>prokureur</w:t>
      </w:r>
      <w:proofErr w:type="spellEnd"/>
      <w:r w:rsidRPr="000F5CF5">
        <w:rPr>
          <w:i/>
        </w:rPr>
        <w:t xml:space="preserve"> </w:t>
      </w:r>
      <w:proofErr w:type="spellStart"/>
      <w:r w:rsidRPr="000F5CF5">
        <w:rPr>
          <w:i/>
        </w:rPr>
        <w:t>wat</w:t>
      </w:r>
      <w:proofErr w:type="spellEnd"/>
      <w:r w:rsidRPr="000F5CF5">
        <w:rPr>
          <w:i/>
        </w:rPr>
        <w:t xml:space="preserve"> </w:t>
      </w:r>
      <w:proofErr w:type="spellStart"/>
      <w:r w:rsidRPr="000F5CF5">
        <w:rPr>
          <w:i/>
        </w:rPr>
        <w:t>dus</w:t>
      </w:r>
      <w:proofErr w:type="spellEnd"/>
      <w:r w:rsidRPr="000F5CF5">
        <w:rPr>
          <w:i/>
        </w:rPr>
        <w:t xml:space="preserve"> die </w:t>
      </w:r>
      <w:proofErr w:type="spellStart"/>
      <w:r w:rsidRPr="000F5CF5">
        <w:rPr>
          <w:i/>
        </w:rPr>
        <w:t>agente</w:t>
      </w:r>
      <w:proofErr w:type="spellEnd"/>
      <w:r w:rsidRPr="000F5CF5">
        <w:rPr>
          <w:i/>
        </w:rPr>
        <w:t xml:space="preserve"> die </w:t>
      </w:r>
      <w:proofErr w:type="spellStart"/>
      <w:r w:rsidRPr="000F5CF5">
        <w:rPr>
          <w:i/>
        </w:rPr>
        <w:t>beste</w:t>
      </w:r>
      <w:proofErr w:type="spellEnd"/>
      <w:r w:rsidRPr="000F5CF5">
        <w:rPr>
          <w:i/>
        </w:rPr>
        <w:t xml:space="preserve"> </w:t>
      </w:r>
      <w:proofErr w:type="spellStart"/>
      <w:proofErr w:type="gramStart"/>
      <w:r w:rsidRPr="000F5CF5">
        <w:rPr>
          <w:i/>
        </w:rPr>
        <w:t>kan</w:t>
      </w:r>
      <w:proofErr w:type="spellEnd"/>
      <w:proofErr w:type="gramEnd"/>
      <w:r w:rsidRPr="000F5CF5">
        <w:rPr>
          <w:i/>
        </w:rPr>
        <w:t xml:space="preserve"> </w:t>
      </w:r>
      <w:proofErr w:type="spellStart"/>
      <w:r w:rsidRPr="000F5CF5">
        <w:rPr>
          <w:i/>
        </w:rPr>
        <w:t>onthaal</w:t>
      </w:r>
      <w:proofErr w:type="spellEnd"/>
      <w:r w:rsidRPr="000F5CF5">
        <w:rPr>
          <w:i/>
        </w:rPr>
        <w:t xml:space="preserve"> en "</w:t>
      </w:r>
      <w:proofErr w:type="spellStart"/>
      <w:r w:rsidRPr="000F5CF5">
        <w:rPr>
          <w:i/>
        </w:rPr>
        <w:t>omkoop</w:t>
      </w:r>
      <w:proofErr w:type="spellEnd"/>
      <w:r w:rsidRPr="000F5CF5">
        <w:rPr>
          <w:i/>
        </w:rPr>
        <w:t xml:space="preserve">" </w:t>
      </w:r>
      <w:proofErr w:type="spellStart"/>
      <w:r w:rsidRPr="000F5CF5">
        <w:rPr>
          <w:i/>
        </w:rPr>
        <w:t>kry</w:t>
      </w:r>
      <w:proofErr w:type="spellEnd"/>
      <w:r w:rsidRPr="000F5CF5">
        <w:rPr>
          <w:i/>
        </w:rPr>
        <w:t xml:space="preserve"> </w:t>
      </w:r>
      <w:proofErr w:type="spellStart"/>
      <w:r w:rsidRPr="000F5CF5">
        <w:rPr>
          <w:i/>
        </w:rPr>
        <w:t>noodwendig</w:t>
      </w:r>
      <w:proofErr w:type="spellEnd"/>
      <w:r w:rsidRPr="000F5CF5">
        <w:rPr>
          <w:i/>
        </w:rPr>
        <w:t xml:space="preserve"> die </w:t>
      </w:r>
      <w:proofErr w:type="spellStart"/>
      <w:r w:rsidRPr="000F5CF5">
        <w:rPr>
          <w:i/>
        </w:rPr>
        <w:t>meeste</w:t>
      </w:r>
      <w:proofErr w:type="spellEnd"/>
      <w:r w:rsidRPr="000F5CF5">
        <w:rPr>
          <w:i/>
        </w:rPr>
        <w:t xml:space="preserve"> </w:t>
      </w:r>
      <w:proofErr w:type="spellStart"/>
      <w:r w:rsidRPr="000F5CF5">
        <w:rPr>
          <w:i/>
        </w:rPr>
        <w:t>transaksies</w:t>
      </w:r>
      <w:proofErr w:type="spellEnd"/>
      <w:r w:rsidRPr="000F5CF5">
        <w:rPr>
          <w:i/>
        </w:rPr>
        <w:t xml:space="preserve">.  </w:t>
      </w:r>
      <w:proofErr w:type="spellStart"/>
      <w:r w:rsidRPr="000F5CF5">
        <w:rPr>
          <w:i/>
        </w:rPr>
        <w:t>Wat</w:t>
      </w:r>
      <w:proofErr w:type="spellEnd"/>
      <w:r w:rsidRPr="000F5CF5">
        <w:rPr>
          <w:i/>
        </w:rPr>
        <w:t xml:space="preserve"> is </w:t>
      </w:r>
      <w:proofErr w:type="spellStart"/>
      <w:r w:rsidRPr="000F5CF5">
        <w:rPr>
          <w:i/>
        </w:rPr>
        <w:t>doel</w:t>
      </w:r>
      <w:proofErr w:type="spellEnd"/>
      <w:r w:rsidRPr="000F5CF5">
        <w:rPr>
          <w:i/>
        </w:rPr>
        <w:t xml:space="preserve"> </w:t>
      </w:r>
      <w:proofErr w:type="spellStart"/>
      <w:proofErr w:type="gramStart"/>
      <w:r w:rsidRPr="000F5CF5">
        <w:rPr>
          <w:i/>
        </w:rPr>
        <w:t>om</w:t>
      </w:r>
      <w:proofErr w:type="spellEnd"/>
      <w:r w:rsidRPr="000F5CF5">
        <w:rPr>
          <w:i/>
        </w:rPr>
        <w:t xml:space="preserve"> as 'n </w:t>
      </w:r>
      <w:proofErr w:type="spellStart"/>
      <w:r w:rsidRPr="000F5CF5">
        <w:rPr>
          <w:i/>
        </w:rPr>
        <w:t>Transportbesorger</w:t>
      </w:r>
      <w:proofErr w:type="spellEnd"/>
      <w:r w:rsidRPr="000F5CF5">
        <w:rPr>
          <w:i/>
        </w:rPr>
        <w:t xml:space="preserve"> </w:t>
      </w:r>
      <w:proofErr w:type="spellStart"/>
      <w:r w:rsidRPr="000F5CF5">
        <w:rPr>
          <w:i/>
        </w:rPr>
        <w:t>gekwalifiseer</w:t>
      </w:r>
      <w:proofErr w:type="spellEnd"/>
      <w:r w:rsidRPr="000F5CF5">
        <w:rPr>
          <w:i/>
        </w:rPr>
        <w:t xml:space="preserve"> </w:t>
      </w:r>
      <w:proofErr w:type="spellStart"/>
      <w:r w:rsidRPr="000F5CF5">
        <w:rPr>
          <w:i/>
        </w:rPr>
        <w:t>te</w:t>
      </w:r>
      <w:proofErr w:type="spellEnd"/>
      <w:proofErr w:type="gramEnd"/>
      <w:r w:rsidRPr="000F5CF5">
        <w:rPr>
          <w:i/>
        </w:rPr>
        <w:t xml:space="preserve"> </w:t>
      </w:r>
      <w:proofErr w:type="spellStart"/>
      <w:r w:rsidRPr="000F5CF5">
        <w:rPr>
          <w:i/>
        </w:rPr>
        <w:t>wees</w:t>
      </w:r>
      <w:proofErr w:type="spellEnd"/>
      <w:r w:rsidRPr="000F5CF5">
        <w:rPr>
          <w:i/>
        </w:rPr>
        <w:t xml:space="preserve"> </w:t>
      </w:r>
      <w:proofErr w:type="spellStart"/>
      <w:r w:rsidRPr="000F5CF5">
        <w:rPr>
          <w:i/>
        </w:rPr>
        <w:t>waar</w:t>
      </w:r>
      <w:proofErr w:type="spellEnd"/>
      <w:r w:rsidRPr="000F5CF5">
        <w:rPr>
          <w:i/>
        </w:rPr>
        <w:t xml:space="preserve"> </w:t>
      </w:r>
      <w:proofErr w:type="spellStart"/>
      <w:r w:rsidRPr="000F5CF5">
        <w:rPr>
          <w:i/>
        </w:rPr>
        <w:t>firmas</w:t>
      </w:r>
      <w:proofErr w:type="spellEnd"/>
      <w:r w:rsidRPr="000F5CF5">
        <w:rPr>
          <w:i/>
        </w:rPr>
        <w:t xml:space="preserve"> op bank </w:t>
      </w:r>
      <w:proofErr w:type="spellStart"/>
      <w:r w:rsidRPr="000F5CF5">
        <w:rPr>
          <w:i/>
        </w:rPr>
        <w:t>panele</w:t>
      </w:r>
      <w:proofErr w:type="spellEnd"/>
      <w:r w:rsidRPr="000F5CF5">
        <w:rPr>
          <w:i/>
        </w:rPr>
        <w:t xml:space="preserve"> is </w:t>
      </w:r>
      <w:proofErr w:type="spellStart"/>
      <w:r w:rsidRPr="000F5CF5">
        <w:rPr>
          <w:i/>
        </w:rPr>
        <w:t>wat</w:t>
      </w:r>
      <w:proofErr w:type="spellEnd"/>
      <w:r w:rsidRPr="000F5CF5">
        <w:rPr>
          <w:i/>
        </w:rPr>
        <w:t xml:space="preserve"> </w:t>
      </w:r>
      <w:proofErr w:type="spellStart"/>
      <w:r w:rsidRPr="000F5CF5">
        <w:rPr>
          <w:i/>
        </w:rPr>
        <w:t>nie</w:t>
      </w:r>
      <w:proofErr w:type="spellEnd"/>
      <w:r w:rsidRPr="000F5CF5">
        <w:rPr>
          <w:i/>
        </w:rPr>
        <w:t xml:space="preserve"> </w:t>
      </w:r>
      <w:proofErr w:type="spellStart"/>
      <w:r w:rsidRPr="000F5CF5">
        <w:rPr>
          <w:i/>
        </w:rPr>
        <w:t>eers</w:t>
      </w:r>
      <w:proofErr w:type="spellEnd"/>
      <w:r w:rsidRPr="000F5CF5">
        <w:rPr>
          <w:i/>
        </w:rPr>
        <w:t xml:space="preserve"> en </w:t>
      </w:r>
      <w:proofErr w:type="spellStart"/>
      <w:r w:rsidRPr="000F5CF5">
        <w:rPr>
          <w:i/>
        </w:rPr>
        <w:t>Transportbesorger</w:t>
      </w:r>
      <w:proofErr w:type="spellEnd"/>
      <w:r w:rsidRPr="000F5CF5">
        <w:rPr>
          <w:i/>
        </w:rPr>
        <w:t xml:space="preserve"> by </w:t>
      </w:r>
      <w:proofErr w:type="spellStart"/>
      <w:r w:rsidRPr="000F5CF5">
        <w:rPr>
          <w:i/>
        </w:rPr>
        <w:t>hulle</w:t>
      </w:r>
      <w:proofErr w:type="spellEnd"/>
      <w:r w:rsidRPr="000F5CF5">
        <w:rPr>
          <w:i/>
        </w:rPr>
        <w:t xml:space="preserve"> firma het </w:t>
      </w:r>
      <w:proofErr w:type="spellStart"/>
      <w:r w:rsidRPr="000F5CF5">
        <w:rPr>
          <w:i/>
        </w:rPr>
        <w:t>nie</w:t>
      </w:r>
      <w:proofErr w:type="spellEnd"/>
      <w:r w:rsidRPr="000F5CF5">
        <w:rPr>
          <w:i/>
        </w:rPr>
        <w:t xml:space="preserve">. Die </w:t>
      </w:r>
      <w:proofErr w:type="spellStart"/>
      <w:r w:rsidRPr="000F5CF5">
        <w:rPr>
          <w:i/>
        </w:rPr>
        <w:t>banke</w:t>
      </w:r>
      <w:proofErr w:type="spellEnd"/>
      <w:r w:rsidRPr="000F5CF5">
        <w:rPr>
          <w:i/>
        </w:rPr>
        <w:t xml:space="preserve"> </w:t>
      </w:r>
      <w:proofErr w:type="spellStart"/>
      <w:r w:rsidRPr="000F5CF5">
        <w:rPr>
          <w:i/>
        </w:rPr>
        <w:t>gebruik</w:t>
      </w:r>
      <w:proofErr w:type="spellEnd"/>
      <w:r w:rsidRPr="000F5CF5">
        <w:rPr>
          <w:i/>
        </w:rPr>
        <w:t xml:space="preserve"> </w:t>
      </w:r>
      <w:proofErr w:type="spellStart"/>
      <w:r w:rsidRPr="000F5CF5">
        <w:rPr>
          <w:i/>
        </w:rPr>
        <w:t>ons</w:t>
      </w:r>
      <w:proofErr w:type="spellEnd"/>
      <w:r w:rsidRPr="000F5CF5">
        <w:rPr>
          <w:i/>
        </w:rPr>
        <w:t xml:space="preserve"> </w:t>
      </w:r>
      <w:proofErr w:type="spellStart"/>
      <w:r w:rsidRPr="000F5CF5">
        <w:rPr>
          <w:i/>
        </w:rPr>
        <w:t>soos</w:t>
      </w:r>
      <w:proofErr w:type="spellEnd"/>
      <w:r w:rsidRPr="000F5CF5">
        <w:rPr>
          <w:i/>
        </w:rPr>
        <w:t xml:space="preserve"> </w:t>
      </w:r>
      <w:proofErr w:type="spellStart"/>
      <w:r w:rsidRPr="000F5CF5">
        <w:rPr>
          <w:i/>
        </w:rPr>
        <w:t>pionne</w:t>
      </w:r>
      <w:proofErr w:type="spellEnd"/>
      <w:r w:rsidRPr="000F5CF5">
        <w:rPr>
          <w:i/>
        </w:rPr>
        <w:t xml:space="preserve"> </w:t>
      </w:r>
      <w:proofErr w:type="spellStart"/>
      <w:r w:rsidRPr="000F5CF5">
        <w:rPr>
          <w:i/>
        </w:rPr>
        <w:t>wat</w:t>
      </w:r>
      <w:proofErr w:type="spellEnd"/>
      <w:r w:rsidRPr="000F5CF5">
        <w:rPr>
          <w:i/>
        </w:rPr>
        <w:t xml:space="preserve"> net </w:t>
      </w:r>
      <w:proofErr w:type="spellStart"/>
      <w:r w:rsidRPr="000F5CF5">
        <w:rPr>
          <w:i/>
        </w:rPr>
        <w:t>moet</w:t>
      </w:r>
      <w:proofErr w:type="spellEnd"/>
      <w:r w:rsidRPr="000F5CF5">
        <w:rPr>
          <w:i/>
        </w:rPr>
        <w:t xml:space="preserve"> spring as </w:t>
      </w:r>
      <w:proofErr w:type="spellStart"/>
      <w:r w:rsidRPr="000F5CF5">
        <w:rPr>
          <w:i/>
        </w:rPr>
        <w:t>hulle</w:t>
      </w:r>
      <w:proofErr w:type="spellEnd"/>
      <w:r w:rsidRPr="000F5CF5">
        <w:rPr>
          <w:i/>
        </w:rPr>
        <w:t xml:space="preserve"> </w:t>
      </w:r>
      <w:proofErr w:type="spellStart"/>
      <w:r w:rsidRPr="000F5CF5">
        <w:rPr>
          <w:i/>
        </w:rPr>
        <w:t>sê</w:t>
      </w:r>
      <w:proofErr w:type="spellEnd"/>
      <w:r w:rsidRPr="000F5CF5">
        <w:rPr>
          <w:i/>
        </w:rPr>
        <w:t xml:space="preserve"> spring.</w:t>
      </w:r>
    </w:p>
    <w:p w:rsidR="00D9516B" w:rsidRPr="000F5CF5" w:rsidRDefault="00D9516B">
      <w:pPr>
        <w:rPr>
          <w:i/>
        </w:rPr>
      </w:pPr>
    </w:p>
    <w:p w:rsidR="00D9516B" w:rsidRPr="000F5CF5" w:rsidRDefault="00D9516B">
      <w:pPr>
        <w:rPr>
          <w:i/>
        </w:rPr>
      </w:pPr>
      <w:r w:rsidRPr="000F5CF5">
        <w:rPr>
          <w:i/>
        </w:rPr>
        <w:t>Salary survey for secretaries, clerks, messengers, bookkeepers etc    Survey on problems with banks, deeds office, courts, Master's office, SARS, local authorities and other demons we have to deal with    Survey on typical costs and overheads e.g. rent, toner, salaries, phones, paper and stationary, entertainment, advertising/marketing etc</w:t>
      </w:r>
    </w:p>
    <w:p w:rsidR="00D9516B" w:rsidRPr="000F5CF5" w:rsidRDefault="00D9516B">
      <w:pPr>
        <w:rPr>
          <w:i/>
        </w:rPr>
      </w:pPr>
      <w:r w:rsidRPr="000F5CF5">
        <w:rPr>
          <w:i/>
        </w:rPr>
        <w:t>Surveys on all the software vendors</w:t>
      </w:r>
    </w:p>
    <w:p w:rsidR="00D9516B" w:rsidRPr="000F5CF5" w:rsidRDefault="00D9516B">
      <w:pPr>
        <w:rPr>
          <w:i/>
        </w:rPr>
      </w:pPr>
    </w:p>
    <w:p w:rsidR="00D9516B" w:rsidRPr="000F5CF5" w:rsidRDefault="00D9516B" w:rsidP="00D9516B">
      <w:pPr>
        <w:rPr>
          <w:i/>
        </w:rPr>
      </w:pPr>
      <w:r w:rsidRPr="000F5CF5">
        <w:rPr>
          <w:i/>
        </w:rPr>
        <w:t>Profession's views on the Electronic Lodgement of Deeds</w:t>
      </w:r>
    </w:p>
    <w:p w:rsidR="00D9516B" w:rsidRPr="000F5CF5" w:rsidRDefault="00D9516B">
      <w:pPr>
        <w:rPr>
          <w:i/>
        </w:rPr>
      </w:pPr>
      <w:r w:rsidRPr="000F5CF5">
        <w:rPr>
          <w:i/>
        </w:rPr>
        <w:t xml:space="preserve">I would like more surveys done especially with regards the problems we have with the Municipalities in obtaining clearances and the Master's office with regard to obtain signatures to Powers </w:t>
      </w:r>
      <w:proofErr w:type="spellStart"/>
      <w:r w:rsidRPr="000F5CF5">
        <w:rPr>
          <w:i/>
        </w:rPr>
        <w:t>ito</w:t>
      </w:r>
      <w:proofErr w:type="spellEnd"/>
      <w:r w:rsidRPr="000F5CF5">
        <w:rPr>
          <w:i/>
        </w:rPr>
        <w:t xml:space="preserve"> Sect 42(2) and the obtaining of certified copies of documents for use in the deeds office!!!!</w:t>
      </w:r>
    </w:p>
    <w:p w:rsidR="00D9516B" w:rsidRPr="000F5CF5" w:rsidRDefault="00D9516B">
      <w:pPr>
        <w:rPr>
          <w:i/>
        </w:rPr>
      </w:pPr>
    </w:p>
    <w:p w:rsidR="00D9516B" w:rsidRPr="000F5CF5" w:rsidRDefault="00D9516B">
      <w:pPr>
        <w:rPr>
          <w:i/>
        </w:rPr>
      </w:pPr>
      <w:r w:rsidRPr="000F5CF5">
        <w:rPr>
          <w:i/>
        </w:rPr>
        <w:t>How quickly do other conveyancers get rates clearance figures and what is suggested as the quickest route.</w:t>
      </w:r>
    </w:p>
    <w:p w:rsidR="00D9516B" w:rsidRPr="000F5CF5" w:rsidRDefault="00D9516B" w:rsidP="00D9516B">
      <w:pPr>
        <w:rPr>
          <w:i/>
        </w:rPr>
      </w:pPr>
      <w:r w:rsidRPr="000F5CF5">
        <w:rPr>
          <w:i/>
        </w:rPr>
        <w:t>Conveyancing firms should refrain from offering ridiculous reductions in fees to obtain instructions, as it adversely affects and cheapens the entire industry.</w:t>
      </w:r>
    </w:p>
    <w:p w:rsidR="00D9516B" w:rsidRPr="000F5CF5" w:rsidRDefault="00D9516B">
      <w:pPr>
        <w:rPr>
          <w:i/>
        </w:rPr>
      </w:pPr>
    </w:p>
    <w:p w:rsidR="00D9516B" w:rsidRPr="000F5CF5" w:rsidRDefault="00D9516B">
      <w:pPr>
        <w:rPr>
          <w:i/>
        </w:rPr>
      </w:pPr>
      <w:r w:rsidRPr="000F5CF5">
        <w:rPr>
          <w:i/>
        </w:rPr>
        <w:t>I feel that Conveyancing secretaries are exploited.  We are made to take all the responsibility of the conveyancer and yet the conveyancers continue to complain about our salaries.  Conveyancing secretaries now are being paid peanuts and you know what they say about that "you pay peanuts, you get monk</w:t>
      </w:r>
      <w:r w:rsidR="003A3034" w:rsidRPr="000F5CF5">
        <w:rPr>
          <w:i/>
        </w:rPr>
        <w:t>ey</w:t>
      </w:r>
      <w:r w:rsidRPr="000F5CF5">
        <w:rPr>
          <w:i/>
        </w:rPr>
        <w:t>s"</w:t>
      </w:r>
    </w:p>
    <w:p w:rsidR="003A3034" w:rsidRPr="000F5CF5" w:rsidRDefault="003A3034">
      <w:pPr>
        <w:rPr>
          <w:i/>
        </w:rPr>
      </w:pPr>
      <w:proofErr w:type="gramStart"/>
      <w:r w:rsidRPr="000F5CF5">
        <w:rPr>
          <w:i/>
        </w:rPr>
        <w:t>Estate Administration.</w:t>
      </w:r>
      <w:proofErr w:type="gramEnd"/>
      <w:r w:rsidRPr="000F5CF5">
        <w:rPr>
          <w:i/>
        </w:rPr>
        <w:t xml:space="preserve">  What are legal firms doing to rescue the market from the Banks who do not do the job </w:t>
      </w:r>
      <w:proofErr w:type="gramStart"/>
      <w:r w:rsidRPr="000F5CF5">
        <w:rPr>
          <w:i/>
        </w:rPr>
        <w:t>properly.</w:t>
      </w:r>
      <w:proofErr w:type="gramEnd"/>
      <w:r w:rsidRPr="000F5CF5">
        <w:rPr>
          <w:i/>
        </w:rPr>
        <w:t xml:space="preserve">  </w:t>
      </w:r>
      <w:proofErr w:type="gramStart"/>
      <w:r w:rsidRPr="000F5CF5">
        <w:rPr>
          <w:i/>
        </w:rPr>
        <w:t xml:space="preserve">If Ghost Digest could do a survey with possibly senior attorneys who do estate </w:t>
      </w:r>
      <w:r w:rsidRPr="000F5CF5">
        <w:rPr>
          <w:i/>
        </w:rPr>
        <w:lastRenderedPageBreak/>
        <w:t>administration as a large part of their practice to glean their input on their attitude towards banks administering estates.</w:t>
      </w:r>
      <w:proofErr w:type="gramEnd"/>
      <w:r w:rsidRPr="000F5CF5">
        <w:rPr>
          <w:i/>
        </w:rPr>
        <w:t xml:space="preserve">  There is a whole market out there that can once again be returned where it should be, with attorneys.</w:t>
      </w:r>
    </w:p>
    <w:p w:rsidR="003A3034" w:rsidRDefault="003A3034"/>
    <w:p w:rsidR="003A3034" w:rsidRPr="00D9516B" w:rsidRDefault="003A3034"/>
    <w:sectPr w:rsidR="003A3034" w:rsidRPr="00D9516B" w:rsidSect="00816DB9">
      <w:foot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EF" w:rsidRDefault="00CE3FEF" w:rsidP="0044524C">
      <w:pPr>
        <w:spacing w:after="0" w:line="240" w:lineRule="auto"/>
      </w:pPr>
      <w:r>
        <w:separator/>
      </w:r>
    </w:p>
  </w:endnote>
  <w:endnote w:type="continuationSeparator" w:id="0">
    <w:p w:rsidR="00CE3FEF" w:rsidRDefault="00CE3FEF" w:rsidP="00445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EF" w:rsidRPr="004D56B6" w:rsidRDefault="00CE3FEF">
    <w:pPr>
      <w:pStyle w:val="Footer"/>
      <w:rPr>
        <w:sz w:val="20"/>
        <w:szCs w:val="20"/>
      </w:rPr>
    </w:pPr>
    <w:sdt>
      <w:sdtPr>
        <w:rPr>
          <w:sz w:val="20"/>
          <w:szCs w:val="20"/>
        </w:rPr>
        <w:id w:val="11614079"/>
        <w:docPartObj>
          <w:docPartGallery w:val="Page Numbers (Bottom of Page)"/>
          <w:docPartUnique/>
        </w:docPartObj>
      </w:sdtPr>
      <w:sdtContent>
        <w:r w:rsidRPr="00467A23">
          <w:rPr>
            <w:noProof/>
            <w:sz w:val="20"/>
            <w:szCs w:val="20"/>
            <w:lang w:val="en-US" w:eastAsia="zh-TW"/>
          </w:rPr>
          <w:pict>
            <v:group id="_x0000_s2057" style="position:absolute;margin-left:-75.6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8" type="#_x0000_t32" style="position:absolute;left:2111;top:15387;width:0;height:441;flip:y" o:connectortype="straight" strokecolor="#7f7f7f [1612]"/>
              <v:rect id="_x0000_s2059" style="position:absolute;left:1743;top:14699;width:688;height:688;v-text-anchor:middle" filled="f" strokecolor="#7f7f7f [1612]">
                <v:textbox style="mso-next-textbox:#_x0000_s2059">
                  <w:txbxContent>
                    <w:p w:rsidR="00CE3FEF" w:rsidRDefault="00CE3FEF">
                      <w:pPr>
                        <w:pStyle w:val="Footer"/>
                        <w:jc w:val="center"/>
                        <w:rPr>
                          <w:sz w:val="16"/>
                          <w:szCs w:val="16"/>
                        </w:rPr>
                      </w:pPr>
                      <w:fldSimple w:instr=" PAGE    \* MERGEFORMAT ">
                        <w:r w:rsidR="00B33272" w:rsidRPr="00B33272">
                          <w:rPr>
                            <w:noProof/>
                            <w:sz w:val="16"/>
                            <w:szCs w:val="16"/>
                          </w:rPr>
                          <w:t>2</w:t>
                        </w:r>
                      </w:fldSimple>
                    </w:p>
                  </w:txbxContent>
                </v:textbox>
              </v:rect>
              <w10:wrap anchorx="margin" anchory="page"/>
            </v:group>
          </w:pict>
        </w:r>
        <w:r>
          <w:rPr>
            <w:sz w:val="20"/>
            <w:szCs w:val="20"/>
          </w:rPr>
          <w:t>National Summary</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EF" w:rsidRDefault="00CE3FEF" w:rsidP="0044524C">
      <w:pPr>
        <w:spacing w:after="0" w:line="240" w:lineRule="auto"/>
      </w:pPr>
      <w:r>
        <w:separator/>
      </w:r>
    </w:p>
  </w:footnote>
  <w:footnote w:type="continuationSeparator" w:id="0">
    <w:p w:rsidR="00CE3FEF" w:rsidRDefault="00CE3FEF" w:rsidP="004452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1"/>
    <o:shapelayout v:ext="edit">
      <o:idmap v:ext="edit" data="2"/>
      <o:rules v:ext="edit">
        <o:r id="V:Rule2" type="connector" idref="#_x0000_s2058"/>
      </o:rules>
    </o:shapelayout>
  </w:hdrShapeDefaults>
  <w:footnotePr>
    <w:footnote w:id="-1"/>
    <w:footnote w:id="0"/>
  </w:footnotePr>
  <w:endnotePr>
    <w:endnote w:id="-1"/>
    <w:endnote w:id="0"/>
  </w:endnotePr>
  <w:compat/>
  <w:rsids>
    <w:rsidRoot w:val="00E77D45"/>
    <w:rsid w:val="000F5CF5"/>
    <w:rsid w:val="00137FFA"/>
    <w:rsid w:val="00177859"/>
    <w:rsid w:val="00191E98"/>
    <w:rsid w:val="001E20C0"/>
    <w:rsid w:val="001F5D9B"/>
    <w:rsid w:val="00207880"/>
    <w:rsid w:val="00281312"/>
    <w:rsid w:val="00285A07"/>
    <w:rsid w:val="002E0131"/>
    <w:rsid w:val="0034017C"/>
    <w:rsid w:val="00344E06"/>
    <w:rsid w:val="003A3034"/>
    <w:rsid w:val="003E439D"/>
    <w:rsid w:val="00412710"/>
    <w:rsid w:val="00430797"/>
    <w:rsid w:val="0044524C"/>
    <w:rsid w:val="004642C4"/>
    <w:rsid w:val="004675EF"/>
    <w:rsid w:val="00467A23"/>
    <w:rsid w:val="00480A1B"/>
    <w:rsid w:val="00493F09"/>
    <w:rsid w:val="004C4E56"/>
    <w:rsid w:val="004D56B6"/>
    <w:rsid w:val="004E0886"/>
    <w:rsid w:val="00520AF9"/>
    <w:rsid w:val="00550D90"/>
    <w:rsid w:val="00652249"/>
    <w:rsid w:val="00666F96"/>
    <w:rsid w:val="00683895"/>
    <w:rsid w:val="00715232"/>
    <w:rsid w:val="007214ED"/>
    <w:rsid w:val="007639C7"/>
    <w:rsid w:val="00770CA2"/>
    <w:rsid w:val="00780C23"/>
    <w:rsid w:val="007A5B86"/>
    <w:rsid w:val="00816DB9"/>
    <w:rsid w:val="00957B92"/>
    <w:rsid w:val="009A161C"/>
    <w:rsid w:val="00AA4D73"/>
    <w:rsid w:val="00B33272"/>
    <w:rsid w:val="00B91E56"/>
    <w:rsid w:val="00C05411"/>
    <w:rsid w:val="00C74B0E"/>
    <w:rsid w:val="00CE3FEF"/>
    <w:rsid w:val="00D27377"/>
    <w:rsid w:val="00D9516B"/>
    <w:rsid w:val="00DE1967"/>
    <w:rsid w:val="00E70E78"/>
    <w:rsid w:val="00E77D45"/>
    <w:rsid w:val="00E87A63"/>
    <w:rsid w:val="00F25B87"/>
    <w:rsid w:val="00FB1EE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DB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45"/>
    <w:rPr>
      <w:rFonts w:ascii="Tahoma" w:hAnsi="Tahoma" w:cs="Tahoma"/>
      <w:sz w:val="16"/>
      <w:szCs w:val="16"/>
    </w:rPr>
  </w:style>
  <w:style w:type="paragraph" w:styleId="Header">
    <w:name w:val="header"/>
    <w:basedOn w:val="Normal"/>
    <w:link w:val="HeaderChar"/>
    <w:uiPriority w:val="99"/>
    <w:semiHidden/>
    <w:unhideWhenUsed/>
    <w:rsid w:val="004452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524C"/>
  </w:style>
  <w:style w:type="paragraph" w:styleId="Footer">
    <w:name w:val="footer"/>
    <w:basedOn w:val="Normal"/>
    <w:link w:val="FooterChar"/>
    <w:uiPriority w:val="99"/>
    <w:unhideWhenUsed/>
    <w:rsid w:val="00445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24C"/>
  </w:style>
  <w:style w:type="character" w:styleId="PlaceholderText">
    <w:name w:val="Placeholder Text"/>
    <w:basedOn w:val="DefaultParagraphFont"/>
    <w:uiPriority w:val="99"/>
    <w:semiHidden/>
    <w:rsid w:val="00E87A63"/>
    <w:rPr>
      <w:color w:val="808080"/>
    </w:rPr>
  </w:style>
  <w:style w:type="paragraph" w:styleId="DocumentMap">
    <w:name w:val="Document Map"/>
    <w:basedOn w:val="Normal"/>
    <w:link w:val="DocumentMapChar"/>
    <w:uiPriority w:val="99"/>
    <w:semiHidden/>
    <w:unhideWhenUsed/>
    <w:rsid w:val="00FB1E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1EE7"/>
    <w:rPr>
      <w:rFonts w:ascii="Tahoma" w:hAnsi="Tahoma" w:cs="Tahoma"/>
      <w:sz w:val="16"/>
      <w:szCs w:val="16"/>
    </w:rPr>
  </w:style>
  <w:style w:type="table" w:styleId="TableGrid">
    <w:name w:val="Table Grid"/>
    <w:basedOn w:val="TableNormal"/>
    <w:uiPriority w:val="59"/>
    <w:rsid w:val="009A1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932767">
      <w:bodyDiv w:val="1"/>
      <w:marLeft w:val="0"/>
      <w:marRight w:val="0"/>
      <w:marTop w:val="0"/>
      <w:marBottom w:val="0"/>
      <w:divBdr>
        <w:top w:val="none" w:sz="0" w:space="0" w:color="auto"/>
        <w:left w:val="none" w:sz="0" w:space="0" w:color="auto"/>
        <w:bottom w:val="none" w:sz="0" w:space="0" w:color="auto"/>
        <w:right w:val="none" w:sz="0" w:space="0" w:color="auto"/>
      </w:divBdr>
    </w:div>
    <w:div w:id="440999815">
      <w:bodyDiv w:val="1"/>
      <w:marLeft w:val="0"/>
      <w:marRight w:val="0"/>
      <w:marTop w:val="0"/>
      <w:marBottom w:val="0"/>
      <w:divBdr>
        <w:top w:val="none" w:sz="0" w:space="0" w:color="auto"/>
        <w:left w:val="none" w:sz="0" w:space="0" w:color="auto"/>
        <w:bottom w:val="none" w:sz="0" w:space="0" w:color="auto"/>
        <w:right w:val="none" w:sz="0" w:space="0" w:color="auto"/>
      </w:divBdr>
    </w:div>
    <w:div w:id="716244234">
      <w:bodyDiv w:val="1"/>
      <w:marLeft w:val="0"/>
      <w:marRight w:val="0"/>
      <w:marTop w:val="0"/>
      <w:marBottom w:val="0"/>
      <w:divBdr>
        <w:top w:val="none" w:sz="0" w:space="0" w:color="auto"/>
        <w:left w:val="none" w:sz="0" w:space="0" w:color="auto"/>
        <w:bottom w:val="none" w:sz="0" w:space="0" w:color="auto"/>
        <w:right w:val="none" w:sz="0" w:space="0" w:color="auto"/>
      </w:divBdr>
    </w:div>
    <w:div w:id="1064789853">
      <w:bodyDiv w:val="1"/>
      <w:marLeft w:val="0"/>
      <w:marRight w:val="0"/>
      <w:marTop w:val="0"/>
      <w:marBottom w:val="0"/>
      <w:divBdr>
        <w:top w:val="none" w:sz="0" w:space="0" w:color="auto"/>
        <w:left w:val="none" w:sz="0" w:space="0" w:color="auto"/>
        <w:bottom w:val="none" w:sz="0" w:space="0" w:color="auto"/>
        <w:right w:val="none" w:sz="0" w:space="0" w:color="auto"/>
      </w:divBdr>
    </w:div>
    <w:div w:id="1172842879">
      <w:bodyDiv w:val="1"/>
      <w:marLeft w:val="0"/>
      <w:marRight w:val="0"/>
      <w:marTop w:val="0"/>
      <w:marBottom w:val="0"/>
      <w:divBdr>
        <w:top w:val="none" w:sz="0" w:space="0" w:color="auto"/>
        <w:left w:val="none" w:sz="0" w:space="0" w:color="auto"/>
        <w:bottom w:val="none" w:sz="0" w:space="0" w:color="auto"/>
        <w:right w:val="none" w:sz="0" w:space="0" w:color="auto"/>
      </w:divBdr>
    </w:div>
    <w:div w:id="1388795977">
      <w:bodyDiv w:val="1"/>
      <w:marLeft w:val="0"/>
      <w:marRight w:val="0"/>
      <w:marTop w:val="0"/>
      <w:marBottom w:val="0"/>
      <w:divBdr>
        <w:top w:val="none" w:sz="0" w:space="0" w:color="auto"/>
        <w:left w:val="none" w:sz="0" w:space="0" w:color="auto"/>
        <w:bottom w:val="none" w:sz="0" w:space="0" w:color="auto"/>
        <w:right w:val="none" w:sz="0" w:space="0" w:color="auto"/>
      </w:divBdr>
    </w:div>
    <w:div w:id="1390231625">
      <w:bodyDiv w:val="1"/>
      <w:marLeft w:val="0"/>
      <w:marRight w:val="0"/>
      <w:marTop w:val="0"/>
      <w:marBottom w:val="0"/>
      <w:divBdr>
        <w:top w:val="none" w:sz="0" w:space="0" w:color="auto"/>
        <w:left w:val="none" w:sz="0" w:space="0" w:color="auto"/>
        <w:bottom w:val="none" w:sz="0" w:space="0" w:color="auto"/>
        <w:right w:val="none" w:sz="0" w:space="0" w:color="auto"/>
      </w:divBdr>
    </w:div>
    <w:div w:id="1429503874">
      <w:bodyDiv w:val="1"/>
      <w:marLeft w:val="0"/>
      <w:marRight w:val="0"/>
      <w:marTop w:val="0"/>
      <w:marBottom w:val="0"/>
      <w:divBdr>
        <w:top w:val="none" w:sz="0" w:space="0" w:color="auto"/>
        <w:left w:val="none" w:sz="0" w:space="0" w:color="auto"/>
        <w:bottom w:val="none" w:sz="0" w:space="0" w:color="auto"/>
        <w:right w:val="none" w:sz="0" w:space="0" w:color="auto"/>
      </w:divBdr>
    </w:div>
    <w:div w:id="1503154867">
      <w:bodyDiv w:val="1"/>
      <w:marLeft w:val="0"/>
      <w:marRight w:val="0"/>
      <w:marTop w:val="0"/>
      <w:marBottom w:val="0"/>
      <w:divBdr>
        <w:top w:val="none" w:sz="0" w:space="0" w:color="auto"/>
        <w:left w:val="none" w:sz="0" w:space="0" w:color="auto"/>
        <w:bottom w:val="none" w:sz="0" w:space="0" w:color="auto"/>
        <w:right w:val="none" w:sz="0" w:space="0" w:color="auto"/>
      </w:divBdr>
    </w:div>
    <w:div w:id="1567031771">
      <w:bodyDiv w:val="1"/>
      <w:marLeft w:val="0"/>
      <w:marRight w:val="0"/>
      <w:marTop w:val="0"/>
      <w:marBottom w:val="0"/>
      <w:divBdr>
        <w:top w:val="none" w:sz="0" w:space="0" w:color="auto"/>
        <w:left w:val="none" w:sz="0" w:space="0" w:color="auto"/>
        <w:bottom w:val="none" w:sz="0" w:space="0" w:color="auto"/>
        <w:right w:val="none" w:sz="0" w:space="0" w:color="auto"/>
      </w:divBdr>
    </w:div>
    <w:div w:id="1731155136">
      <w:bodyDiv w:val="1"/>
      <w:marLeft w:val="0"/>
      <w:marRight w:val="0"/>
      <w:marTop w:val="0"/>
      <w:marBottom w:val="0"/>
      <w:divBdr>
        <w:top w:val="none" w:sz="0" w:space="0" w:color="auto"/>
        <w:left w:val="none" w:sz="0" w:space="0" w:color="auto"/>
        <w:bottom w:val="none" w:sz="0" w:space="0" w:color="auto"/>
        <w:right w:val="none" w:sz="0" w:space="0" w:color="auto"/>
      </w:divBdr>
    </w:div>
    <w:div w:id="17755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ile01\Projects\GhostDigest\Survey2010\WholeCount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Number of partners in firm</a:t>
            </a:r>
          </a:p>
        </c:rich>
      </c:tx>
      <c:layout>
        <c:manualLayout>
          <c:xMode val="edge"/>
          <c:yMode val="edge"/>
          <c:x val="0.34539713023676916"/>
          <c:y val="5.1416771101810796E-2"/>
        </c:manualLayout>
      </c:layout>
      <c:overlay val="1"/>
    </c:title>
    <c:plotArea>
      <c:layout>
        <c:manualLayout>
          <c:layoutTarget val="inner"/>
          <c:xMode val="edge"/>
          <c:yMode val="edge"/>
          <c:x val="0.13970552461430125"/>
          <c:y val="0.17464866441244473"/>
          <c:w val="0.73970734908136448"/>
          <c:h val="0.79822506561679785"/>
        </c:manualLayout>
      </c:layout>
      <c:pieChart>
        <c:varyColors val="1"/>
        <c:ser>
          <c:idx val="0"/>
          <c:order val="0"/>
          <c:dLbls>
            <c:dLbl>
              <c:idx val="4"/>
              <c:layout>
                <c:manualLayout>
                  <c:x val="-6.2649574946476397E-2"/>
                  <c:y val="9.8585989054207346E-2"/>
                </c:manualLayout>
              </c:layout>
              <c:dLblPos val="bestFit"/>
              <c:showVal val="1"/>
              <c:showPercent val="1"/>
            </c:dLbl>
            <c:dLbl>
              <c:idx val="5"/>
              <c:layout>
                <c:manualLayout>
                  <c:x val="-8.5429935592521919E-2"/>
                  <c:y val="0.1297147635725345"/>
                </c:manualLayout>
              </c:layout>
              <c:dLblPos val="bestFit"/>
              <c:showVal val="1"/>
              <c:showPercent val="1"/>
            </c:dLbl>
            <c:numFmt formatCode="General" sourceLinked="0"/>
            <c:txPr>
              <a:bodyPr/>
              <a:lstStyle/>
              <a:p>
                <a:pPr>
                  <a:defRPr sz="1000"/>
                </a:pPr>
                <a:endParaRPr lang="en-US"/>
              </a:p>
            </c:txPr>
            <c:dLblPos val="inEnd"/>
            <c:showVal val="1"/>
            <c:showPercent val="1"/>
            <c:showLeaderLines val="1"/>
          </c:dLbls>
          <c:cat>
            <c:strRef>
              <c:f>'Whole Country'!$B$677:$B$682</c:f>
              <c:strCache>
                <c:ptCount val="6"/>
                <c:pt idx="0">
                  <c:v>Sole Practitioner</c:v>
                </c:pt>
                <c:pt idx="1">
                  <c:v>2 to 5</c:v>
                </c:pt>
                <c:pt idx="2">
                  <c:v>6 to 10</c:v>
                </c:pt>
                <c:pt idx="3">
                  <c:v>11 to 20</c:v>
                </c:pt>
                <c:pt idx="4">
                  <c:v>21 to 40 </c:v>
                </c:pt>
                <c:pt idx="5">
                  <c:v>More than 40</c:v>
                </c:pt>
              </c:strCache>
            </c:strRef>
          </c:cat>
          <c:val>
            <c:numRef>
              <c:f>'Whole Country'!$C$677:$C$682</c:f>
              <c:numCache>
                <c:formatCode>0</c:formatCode>
                <c:ptCount val="6"/>
                <c:pt idx="0">
                  <c:v>35.218093699515343</c:v>
                </c:pt>
                <c:pt idx="1">
                  <c:v>49.59612277867528</c:v>
                </c:pt>
                <c:pt idx="2">
                  <c:v>7.5928917609046849</c:v>
                </c:pt>
                <c:pt idx="3">
                  <c:v>4.6849757673667201</c:v>
                </c:pt>
                <c:pt idx="4">
                  <c:v>0.96930533117932149</c:v>
                </c:pt>
                <c:pt idx="5">
                  <c:v>1.938610662358643</c:v>
                </c:pt>
              </c:numCache>
            </c:numRef>
          </c:val>
        </c:ser>
        <c:firstSliceAng val="53"/>
      </c:pieChart>
    </c:plotArea>
    <c:legend>
      <c:legendPos val="r"/>
      <c:layout/>
      <c:overlay val="1"/>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Recovery - Nedbank</a:t>
            </a:r>
          </a:p>
        </c:rich>
      </c:tx>
      <c:layout/>
    </c:title>
    <c:plotArea>
      <c:layout/>
      <c:stockChart>
        <c:ser>
          <c:idx val="0"/>
          <c:order val="0"/>
          <c:tx>
            <c:strRef>
              <c:f>'Whole Country'!$AG$784</c:f>
              <c:strCache>
                <c:ptCount val="1"/>
                <c:pt idx="0">
                  <c:v>Low</c:v>
                </c:pt>
              </c:strCache>
            </c:strRef>
          </c:tx>
          <c:spPr>
            <a:ln w="47625">
              <a:noFill/>
            </a:ln>
          </c:spPr>
          <c:marker>
            <c:symbol val="none"/>
          </c:marker>
          <c:cat>
            <c:strRef>
              <c:f>'Whole Country'!$AF$785:$AF$798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Country'!$AG$785:$AG$798</c:f>
              <c:numCache>
                <c:formatCode>General</c:formatCode>
                <c:ptCount val="14"/>
                <c:pt idx="0">
                  <c:v>5</c:v>
                </c:pt>
                <c:pt idx="1">
                  <c:v>120</c:v>
                </c:pt>
                <c:pt idx="2">
                  <c:v>65</c:v>
                </c:pt>
                <c:pt idx="3">
                  <c:v>85</c:v>
                </c:pt>
                <c:pt idx="4">
                  <c:v>10</c:v>
                </c:pt>
                <c:pt idx="5">
                  <c:v>5</c:v>
                </c:pt>
                <c:pt idx="6">
                  <c:v>100</c:v>
                </c:pt>
                <c:pt idx="7">
                  <c:v>50</c:v>
                </c:pt>
                <c:pt idx="8">
                  <c:v>80</c:v>
                </c:pt>
                <c:pt idx="9">
                  <c:v>89</c:v>
                </c:pt>
                <c:pt idx="10">
                  <c:v>79</c:v>
                </c:pt>
                <c:pt idx="11">
                  <c:v>100</c:v>
                </c:pt>
                <c:pt idx="12">
                  <c:v>87</c:v>
                </c:pt>
                <c:pt idx="13">
                  <c:v>10</c:v>
                </c:pt>
              </c:numCache>
            </c:numRef>
          </c:val>
        </c:ser>
        <c:ser>
          <c:idx val="1"/>
          <c:order val="1"/>
          <c:tx>
            <c:strRef>
              <c:f>'Whole Country'!$AH$784</c:f>
              <c:strCache>
                <c:ptCount val="1"/>
                <c:pt idx="0">
                  <c:v>High</c:v>
                </c:pt>
              </c:strCache>
            </c:strRef>
          </c:tx>
          <c:spPr>
            <a:ln w="47625">
              <a:noFill/>
            </a:ln>
          </c:spPr>
          <c:marker>
            <c:symbol val="none"/>
          </c:marker>
          <c:cat>
            <c:strRef>
              <c:f>'Whole Country'!$AF$785:$AF$798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Country'!$AH$785:$AH$798</c:f>
              <c:numCache>
                <c:formatCode>General</c:formatCode>
                <c:ptCount val="14"/>
                <c:pt idx="0">
                  <c:v>550</c:v>
                </c:pt>
                <c:pt idx="1">
                  <c:v>120</c:v>
                </c:pt>
                <c:pt idx="2">
                  <c:v>468</c:v>
                </c:pt>
                <c:pt idx="3">
                  <c:v>250</c:v>
                </c:pt>
                <c:pt idx="4">
                  <c:v>315</c:v>
                </c:pt>
                <c:pt idx="5">
                  <c:v>285</c:v>
                </c:pt>
                <c:pt idx="6">
                  <c:v>200</c:v>
                </c:pt>
                <c:pt idx="7">
                  <c:v>250</c:v>
                </c:pt>
                <c:pt idx="8">
                  <c:v>299</c:v>
                </c:pt>
                <c:pt idx="9">
                  <c:v>250</c:v>
                </c:pt>
                <c:pt idx="10">
                  <c:v>220</c:v>
                </c:pt>
                <c:pt idx="11">
                  <c:v>350</c:v>
                </c:pt>
                <c:pt idx="12">
                  <c:v>245</c:v>
                </c:pt>
                <c:pt idx="13">
                  <c:v>550</c:v>
                </c:pt>
              </c:numCache>
            </c:numRef>
          </c:val>
        </c:ser>
        <c:ser>
          <c:idx val="2"/>
          <c:order val="2"/>
          <c:tx>
            <c:strRef>
              <c:f>'Whole Country'!$AI$784</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Country'!$AF$785:$AF$798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Country'!$AI$785:$AI$798</c:f>
              <c:numCache>
                <c:formatCode>General</c:formatCode>
                <c:ptCount val="14"/>
                <c:pt idx="0">
                  <c:v>142</c:v>
                </c:pt>
                <c:pt idx="1">
                  <c:v>120</c:v>
                </c:pt>
                <c:pt idx="2">
                  <c:v>141</c:v>
                </c:pt>
                <c:pt idx="3">
                  <c:v>143</c:v>
                </c:pt>
                <c:pt idx="4">
                  <c:v>107</c:v>
                </c:pt>
                <c:pt idx="5">
                  <c:v>121</c:v>
                </c:pt>
                <c:pt idx="6">
                  <c:v>143</c:v>
                </c:pt>
                <c:pt idx="7">
                  <c:v>127</c:v>
                </c:pt>
                <c:pt idx="8">
                  <c:v>162</c:v>
                </c:pt>
                <c:pt idx="9">
                  <c:v>130</c:v>
                </c:pt>
                <c:pt idx="10">
                  <c:v>122</c:v>
                </c:pt>
                <c:pt idx="11">
                  <c:v>189</c:v>
                </c:pt>
                <c:pt idx="12">
                  <c:v>182</c:v>
                </c:pt>
                <c:pt idx="13">
                  <c:v>162</c:v>
                </c:pt>
              </c:numCache>
            </c:numRef>
          </c:val>
        </c:ser>
        <c:hiLowLines>
          <c:spPr>
            <a:ln w="34925">
              <a:solidFill>
                <a:srgbClr val="FF0000"/>
              </a:solidFill>
            </a:ln>
          </c:spPr>
        </c:hiLowLines>
        <c:axId val="64380288"/>
        <c:axId val="66634112"/>
      </c:stockChart>
      <c:catAx>
        <c:axId val="64380288"/>
        <c:scaling>
          <c:orientation val="minMax"/>
        </c:scaling>
        <c:axPos val="b"/>
        <c:majorTickMark val="none"/>
        <c:tickLblPos val="nextTo"/>
        <c:crossAx val="66634112"/>
        <c:crosses val="autoZero"/>
        <c:auto val="1"/>
        <c:lblAlgn val="ctr"/>
        <c:lblOffset val="100"/>
      </c:catAx>
      <c:valAx>
        <c:axId val="66634112"/>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4380288"/>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Recovery - Other</a:t>
            </a:r>
            <a:r>
              <a:rPr lang="en-US" sz="1100" baseline="0"/>
              <a:t> banks</a:t>
            </a:r>
            <a:endParaRPr lang="en-US" sz="1100"/>
          </a:p>
        </c:rich>
      </c:tx>
      <c:layout/>
    </c:title>
    <c:plotArea>
      <c:layout/>
      <c:stockChart>
        <c:ser>
          <c:idx val="0"/>
          <c:order val="0"/>
          <c:tx>
            <c:strRef>
              <c:f>'Whole Country'!$AL$784</c:f>
              <c:strCache>
                <c:ptCount val="1"/>
                <c:pt idx="0">
                  <c:v>Low</c:v>
                </c:pt>
              </c:strCache>
            </c:strRef>
          </c:tx>
          <c:spPr>
            <a:ln w="47625">
              <a:noFill/>
            </a:ln>
          </c:spPr>
          <c:marker>
            <c:symbol val="none"/>
          </c:marker>
          <c:cat>
            <c:strRef>
              <c:f>'Whole Country'!$AK$785:$AK$798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Country'!$AL$785:$AL$798</c:f>
              <c:numCache>
                <c:formatCode>General</c:formatCode>
                <c:ptCount val="14"/>
                <c:pt idx="0">
                  <c:v>85</c:v>
                </c:pt>
                <c:pt idx="1">
                  <c:v>65</c:v>
                </c:pt>
                <c:pt idx="2">
                  <c:v>89</c:v>
                </c:pt>
                <c:pt idx="3">
                  <c:v>85</c:v>
                </c:pt>
                <c:pt idx="4">
                  <c:v>100</c:v>
                </c:pt>
                <c:pt idx="5">
                  <c:v>107</c:v>
                </c:pt>
                <c:pt idx="6">
                  <c:v>135</c:v>
                </c:pt>
                <c:pt idx="7">
                  <c:v>92</c:v>
                </c:pt>
                <c:pt idx="8">
                  <c:v>299</c:v>
                </c:pt>
                <c:pt idx="9">
                  <c:v>89</c:v>
                </c:pt>
                <c:pt idx="10">
                  <c:v>95</c:v>
                </c:pt>
                <c:pt idx="11">
                  <c:v>117</c:v>
                </c:pt>
                <c:pt idx="12">
                  <c:v>144</c:v>
                </c:pt>
                <c:pt idx="13">
                  <c:v>100</c:v>
                </c:pt>
              </c:numCache>
            </c:numRef>
          </c:val>
        </c:ser>
        <c:ser>
          <c:idx val="1"/>
          <c:order val="1"/>
          <c:tx>
            <c:strRef>
              <c:f>'Whole Country'!$AM$784</c:f>
              <c:strCache>
                <c:ptCount val="1"/>
                <c:pt idx="0">
                  <c:v>High</c:v>
                </c:pt>
              </c:strCache>
            </c:strRef>
          </c:tx>
          <c:spPr>
            <a:ln w="47625">
              <a:noFill/>
            </a:ln>
          </c:spPr>
          <c:marker>
            <c:symbol val="none"/>
          </c:marker>
          <c:cat>
            <c:strRef>
              <c:f>'Whole Country'!$AK$785:$AK$798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Country'!$AM$785:$AM$798</c:f>
              <c:numCache>
                <c:formatCode>General</c:formatCode>
                <c:ptCount val="14"/>
                <c:pt idx="0">
                  <c:v>468</c:v>
                </c:pt>
                <c:pt idx="1">
                  <c:v>500</c:v>
                </c:pt>
                <c:pt idx="2">
                  <c:v>468</c:v>
                </c:pt>
                <c:pt idx="3">
                  <c:v>245</c:v>
                </c:pt>
                <c:pt idx="4">
                  <c:v>107</c:v>
                </c:pt>
                <c:pt idx="5">
                  <c:v>550</c:v>
                </c:pt>
                <c:pt idx="6">
                  <c:v>135</c:v>
                </c:pt>
                <c:pt idx="7">
                  <c:v>250</c:v>
                </c:pt>
                <c:pt idx="8">
                  <c:v>299</c:v>
                </c:pt>
                <c:pt idx="9">
                  <c:v>148</c:v>
                </c:pt>
                <c:pt idx="10">
                  <c:v>125</c:v>
                </c:pt>
                <c:pt idx="11">
                  <c:v>117</c:v>
                </c:pt>
                <c:pt idx="12">
                  <c:v>230</c:v>
                </c:pt>
                <c:pt idx="13">
                  <c:v>350</c:v>
                </c:pt>
              </c:numCache>
            </c:numRef>
          </c:val>
        </c:ser>
        <c:ser>
          <c:idx val="2"/>
          <c:order val="2"/>
          <c:tx>
            <c:strRef>
              <c:f>'Whole Country'!$AN$784</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Country'!$AK$785:$AK$798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Country'!$AN$785:$AN$798</c:f>
              <c:numCache>
                <c:formatCode>General</c:formatCode>
                <c:ptCount val="14"/>
                <c:pt idx="0">
                  <c:v>146</c:v>
                </c:pt>
                <c:pt idx="1">
                  <c:v>241</c:v>
                </c:pt>
                <c:pt idx="2">
                  <c:v>144</c:v>
                </c:pt>
                <c:pt idx="3">
                  <c:v>135</c:v>
                </c:pt>
                <c:pt idx="4">
                  <c:v>103</c:v>
                </c:pt>
                <c:pt idx="5">
                  <c:v>292</c:v>
                </c:pt>
                <c:pt idx="6">
                  <c:v>135</c:v>
                </c:pt>
                <c:pt idx="7">
                  <c:v>137</c:v>
                </c:pt>
                <c:pt idx="8">
                  <c:v>299</c:v>
                </c:pt>
                <c:pt idx="9">
                  <c:v>119</c:v>
                </c:pt>
                <c:pt idx="10">
                  <c:v>109</c:v>
                </c:pt>
                <c:pt idx="11">
                  <c:v>117</c:v>
                </c:pt>
                <c:pt idx="12">
                  <c:v>187</c:v>
                </c:pt>
                <c:pt idx="13">
                  <c:v>213</c:v>
                </c:pt>
              </c:numCache>
            </c:numRef>
          </c:val>
        </c:ser>
        <c:hiLowLines>
          <c:spPr>
            <a:ln w="34925">
              <a:solidFill>
                <a:srgbClr val="FF0000"/>
              </a:solidFill>
            </a:ln>
          </c:spPr>
        </c:hiLowLines>
        <c:axId val="66682880"/>
        <c:axId val="66685568"/>
      </c:stockChart>
      <c:catAx>
        <c:axId val="66682880"/>
        <c:scaling>
          <c:orientation val="minMax"/>
        </c:scaling>
        <c:axPos val="b"/>
        <c:majorTickMark val="none"/>
        <c:tickLblPos val="nextTo"/>
        <c:crossAx val="66685568"/>
        <c:crosses val="autoZero"/>
        <c:auto val="1"/>
        <c:lblAlgn val="ctr"/>
        <c:lblOffset val="100"/>
      </c:catAx>
      <c:valAx>
        <c:axId val="66685568"/>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6682880"/>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Fica Cost Recovery</a:t>
            </a:r>
          </a:p>
        </c:rich>
      </c:tx>
      <c:layout/>
    </c:title>
    <c:plotArea>
      <c:layout/>
      <c:stockChart>
        <c:ser>
          <c:idx val="0"/>
          <c:order val="0"/>
          <c:tx>
            <c:strRef>
              <c:f>'Whole Country'!$R$749</c:f>
              <c:strCache>
                <c:ptCount val="1"/>
                <c:pt idx="0">
                  <c:v>Low</c:v>
                </c:pt>
              </c:strCache>
            </c:strRef>
          </c:tx>
          <c:spPr>
            <a:ln w="47625">
              <a:noFill/>
            </a:ln>
          </c:spPr>
          <c:marker>
            <c:symbol val="none"/>
          </c:marker>
          <c:cat>
            <c:strRef>
              <c:f>'Whole Country'!$Q$750:$Q$763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Country'!$R$750:$R$763</c:f>
              <c:numCache>
                <c:formatCode>General</c:formatCode>
                <c:ptCount val="14"/>
                <c:pt idx="0">
                  <c:v>2</c:v>
                </c:pt>
                <c:pt idx="1">
                  <c:v>65</c:v>
                </c:pt>
                <c:pt idx="2">
                  <c:v>100</c:v>
                </c:pt>
                <c:pt idx="3">
                  <c:v>150</c:v>
                </c:pt>
                <c:pt idx="4">
                  <c:v>100</c:v>
                </c:pt>
                <c:pt idx="5">
                  <c:v>107</c:v>
                </c:pt>
                <c:pt idx="6">
                  <c:v>30</c:v>
                </c:pt>
                <c:pt idx="7">
                  <c:v>100</c:v>
                </c:pt>
                <c:pt idx="8">
                  <c:v>200</c:v>
                </c:pt>
                <c:pt idx="9">
                  <c:v>40</c:v>
                </c:pt>
                <c:pt idx="10">
                  <c:v>109</c:v>
                </c:pt>
                <c:pt idx="11">
                  <c:v>150</c:v>
                </c:pt>
                <c:pt idx="12">
                  <c:v>125</c:v>
                </c:pt>
                <c:pt idx="13">
                  <c:v>2</c:v>
                </c:pt>
              </c:numCache>
            </c:numRef>
          </c:val>
        </c:ser>
        <c:ser>
          <c:idx val="1"/>
          <c:order val="1"/>
          <c:tx>
            <c:strRef>
              <c:f>'Whole Country'!$S$749</c:f>
              <c:strCache>
                <c:ptCount val="1"/>
                <c:pt idx="0">
                  <c:v>High</c:v>
                </c:pt>
              </c:strCache>
            </c:strRef>
          </c:tx>
          <c:spPr>
            <a:ln w="47625">
              <a:noFill/>
            </a:ln>
          </c:spPr>
          <c:marker>
            <c:symbol val="none"/>
          </c:marker>
          <c:cat>
            <c:strRef>
              <c:f>'Whole Country'!$Q$750:$Q$763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Country'!$S$750:$S$763</c:f>
              <c:numCache>
                <c:formatCode>General</c:formatCode>
                <c:ptCount val="14"/>
                <c:pt idx="0">
                  <c:v>700</c:v>
                </c:pt>
                <c:pt idx="1">
                  <c:v>500</c:v>
                </c:pt>
                <c:pt idx="2">
                  <c:v>650</c:v>
                </c:pt>
                <c:pt idx="3">
                  <c:v>500</c:v>
                </c:pt>
                <c:pt idx="4">
                  <c:v>450</c:v>
                </c:pt>
                <c:pt idx="5">
                  <c:v>550</c:v>
                </c:pt>
                <c:pt idx="6">
                  <c:v>400</c:v>
                </c:pt>
                <c:pt idx="7">
                  <c:v>570</c:v>
                </c:pt>
                <c:pt idx="8">
                  <c:v>570</c:v>
                </c:pt>
                <c:pt idx="9">
                  <c:v>440</c:v>
                </c:pt>
                <c:pt idx="10">
                  <c:v>399</c:v>
                </c:pt>
                <c:pt idx="11">
                  <c:v>450</c:v>
                </c:pt>
                <c:pt idx="12">
                  <c:v>450</c:v>
                </c:pt>
                <c:pt idx="13">
                  <c:v>700</c:v>
                </c:pt>
              </c:numCache>
            </c:numRef>
          </c:val>
        </c:ser>
        <c:ser>
          <c:idx val="2"/>
          <c:order val="2"/>
          <c:tx>
            <c:strRef>
              <c:f>'Whole Country'!$T$749</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Country'!$Q$750:$Q$763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Country'!$T$750:$T$763</c:f>
              <c:numCache>
                <c:formatCode>General</c:formatCode>
                <c:ptCount val="14"/>
                <c:pt idx="0">
                  <c:v>295</c:v>
                </c:pt>
                <c:pt idx="1">
                  <c:v>241</c:v>
                </c:pt>
                <c:pt idx="2">
                  <c:v>304</c:v>
                </c:pt>
                <c:pt idx="3">
                  <c:v>295</c:v>
                </c:pt>
                <c:pt idx="4">
                  <c:v>261</c:v>
                </c:pt>
                <c:pt idx="5">
                  <c:v>292</c:v>
                </c:pt>
                <c:pt idx="6">
                  <c:v>280</c:v>
                </c:pt>
                <c:pt idx="7">
                  <c:v>298</c:v>
                </c:pt>
                <c:pt idx="8">
                  <c:v>337</c:v>
                </c:pt>
                <c:pt idx="9">
                  <c:v>265</c:v>
                </c:pt>
                <c:pt idx="10">
                  <c:v>272</c:v>
                </c:pt>
                <c:pt idx="11">
                  <c:v>312</c:v>
                </c:pt>
                <c:pt idx="12">
                  <c:v>235</c:v>
                </c:pt>
                <c:pt idx="13">
                  <c:v>314</c:v>
                </c:pt>
              </c:numCache>
            </c:numRef>
          </c:val>
        </c:ser>
        <c:hiLowLines>
          <c:spPr>
            <a:ln w="34925">
              <a:solidFill>
                <a:srgbClr val="FF0000"/>
              </a:solidFill>
            </a:ln>
          </c:spPr>
        </c:hiLowLines>
        <c:axId val="68927872"/>
        <c:axId val="68929408"/>
      </c:stockChart>
      <c:catAx>
        <c:axId val="68927872"/>
        <c:scaling>
          <c:orientation val="minMax"/>
        </c:scaling>
        <c:axPos val="b"/>
        <c:majorTickMark val="none"/>
        <c:tickLblPos val="nextTo"/>
        <c:crossAx val="68929408"/>
        <c:crosses val="autoZero"/>
        <c:auto val="1"/>
        <c:lblAlgn val="ctr"/>
        <c:lblOffset val="100"/>
      </c:catAx>
      <c:valAx>
        <c:axId val="68929408"/>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892787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Have you increased the conveyancing tariff?</a:t>
            </a:r>
          </a:p>
        </c:rich>
      </c:tx>
      <c:layout>
        <c:manualLayout>
          <c:xMode val="edge"/>
          <c:yMode val="edge"/>
          <c:x val="0.24042221032450001"/>
          <c:y val="3.7453183520599481E-2"/>
        </c:manualLayout>
      </c:layout>
    </c:title>
    <c:plotArea>
      <c:layout>
        <c:manualLayout>
          <c:layoutTarget val="inner"/>
          <c:xMode val="edge"/>
          <c:yMode val="edge"/>
          <c:x val="0.10824872166973112"/>
          <c:y val="0.22379220855820073"/>
          <c:w val="0.7482380365105038"/>
          <c:h val="0.65676634521808375"/>
        </c:manualLayout>
      </c:layout>
      <c:barChart>
        <c:barDir val="col"/>
        <c:grouping val="clustered"/>
        <c:ser>
          <c:idx val="0"/>
          <c:order val="0"/>
          <c:tx>
            <c:strRef>
              <c:f>'Whole Country'!$V$686</c:f>
              <c:strCache>
                <c:ptCount val="1"/>
                <c:pt idx="0">
                  <c:v>Yes</c:v>
                </c:pt>
              </c:strCache>
            </c:strRef>
          </c:tx>
          <c:val>
            <c:numRef>
              <c:f>'Whole Country'!$W$686</c:f>
              <c:numCache>
                <c:formatCode>0.00</c:formatCode>
                <c:ptCount val="1"/>
                <c:pt idx="0">
                  <c:v>20.127118644067796</c:v>
                </c:pt>
              </c:numCache>
            </c:numRef>
          </c:val>
        </c:ser>
        <c:ser>
          <c:idx val="1"/>
          <c:order val="1"/>
          <c:tx>
            <c:strRef>
              <c:f>'Whole Country'!$V$687</c:f>
              <c:strCache>
                <c:ptCount val="1"/>
                <c:pt idx="0">
                  <c:v>No</c:v>
                </c:pt>
              </c:strCache>
            </c:strRef>
          </c:tx>
          <c:val>
            <c:numRef>
              <c:f>'Whole Country'!$W$687</c:f>
              <c:numCache>
                <c:formatCode>0.00</c:formatCode>
                <c:ptCount val="1"/>
                <c:pt idx="0">
                  <c:v>79.872881355932208</c:v>
                </c:pt>
              </c:numCache>
            </c:numRef>
          </c:val>
        </c:ser>
        <c:ser>
          <c:idx val="2"/>
          <c:order val="2"/>
          <c:tx>
            <c:strRef>
              <c:f>'Whole Country'!$V$688</c:f>
              <c:strCache>
                <c:ptCount val="1"/>
                <c:pt idx="0">
                  <c:v>% Average of those who have</c:v>
                </c:pt>
              </c:strCache>
            </c:strRef>
          </c:tx>
          <c:val>
            <c:numRef>
              <c:f>'Whole Country'!$W$688</c:f>
              <c:numCache>
                <c:formatCode>0.0</c:formatCode>
                <c:ptCount val="1"/>
                <c:pt idx="0">
                  <c:v>10.571428571428571</c:v>
                </c:pt>
              </c:numCache>
            </c:numRef>
          </c:val>
        </c:ser>
        <c:axId val="118104448"/>
        <c:axId val="118105984"/>
      </c:barChart>
      <c:catAx>
        <c:axId val="118104448"/>
        <c:scaling>
          <c:orientation val="minMax"/>
        </c:scaling>
        <c:delete val="1"/>
        <c:axPos val="b"/>
        <c:majorTickMark val="none"/>
        <c:tickLblPos val="none"/>
        <c:crossAx val="118105984"/>
        <c:crosses val="autoZero"/>
        <c:auto val="1"/>
        <c:lblAlgn val="ctr"/>
        <c:lblOffset val="100"/>
      </c:catAx>
      <c:valAx>
        <c:axId val="118105984"/>
        <c:scaling>
          <c:orientation val="minMax"/>
        </c:scaling>
        <c:axPos val="l"/>
        <c:majorGridlines/>
        <c:title>
          <c:tx>
            <c:rich>
              <a:bodyPr rot="-5400000" vert="horz"/>
              <a:lstStyle/>
              <a:p>
                <a:pPr>
                  <a:defRPr/>
                </a:pPr>
                <a:r>
                  <a:rPr lang="en-US"/>
                  <a:t>Percentage</a:t>
                </a:r>
              </a:p>
            </c:rich>
          </c:tx>
          <c:layout/>
        </c:title>
        <c:numFmt formatCode="0" sourceLinked="0"/>
        <c:majorTickMark val="none"/>
        <c:tickLblPos val="nextTo"/>
        <c:crossAx val="118104448"/>
        <c:crosses val="autoZero"/>
        <c:crossBetween val="between"/>
      </c:valAx>
    </c:plotArea>
    <c:legend>
      <c:legendPos val="r"/>
      <c:layout>
        <c:manualLayout>
          <c:xMode val="edge"/>
          <c:yMode val="edge"/>
          <c:x val="0.85644408906717984"/>
          <c:y val="0.34532071131558351"/>
          <c:w val="0.12978654776586671"/>
          <c:h val="0.49156831519655791"/>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Do you charge a minimum fee for? …</a:t>
            </a:r>
          </a:p>
        </c:rich>
      </c:tx>
      <c:layout/>
    </c:title>
    <c:plotArea>
      <c:layout>
        <c:manualLayout>
          <c:layoutTarget val="inner"/>
          <c:xMode val="edge"/>
          <c:yMode val="edge"/>
          <c:x val="0.11050094641784236"/>
          <c:y val="0.13015924975670176"/>
          <c:w val="0.74823803651050325"/>
          <c:h val="0.65676634521808375"/>
        </c:manualLayout>
      </c:layout>
      <c:barChart>
        <c:barDir val="col"/>
        <c:grouping val="clustered"/>
        <c:ser>
          <c:idx val="0"/>
          <c:order val="0"/>
          <c:tx>
            <c:strRef>
              <c:f>'Whole Country'!$X$691</c:f>
              <c:strCache>
                <c:ptCount val="1"/>
                <c:pt idx="0">
                  <c:v>Yes</c:v>
                </c:pt>
              </c:strCache>
            </c:strRef>
          </c:tx>
          <c:cat>
            <c:strRef>
              <c:f>'Whole Country'!$Y$690:$AA$690</c:f>
              <c:strCache>
                <c:ptCount val="3"/>
                <c:pt idx="0">
                  <c:v>Bonds</c:v>
                </c:pt>
                <c:pt idx="1">
                  <c:v>Transfers</c:v>
                </c:pt>
                <c:pt idx="2">
                  <c:v>Cancellations</c:v>
                </c:pt>
              </c:strCache>
            </c:strRef>
          </c:cat>
          <c:val>
            <c:numRef>
              <c:f>'Whole Country'!$Y$691:$AA$691</c:f>
              <c:numCache>
                <c:formatCode>0.00</c:formatCode>
                <c:ptCount val="3"/>
                <c:pt idx="0">
                  <c:v>51.612903225806448</c:v>
                </c:pt>
                <c:pt idx="1">
                  <c:v>56.92307692307692</c:v>
                </c:pt>
                <c:pt idx="2">
                  <c:v>53.125</c:v>
                </c:pt>
              </c:numCache>
            </c:numRef>
          </c:val>
        </c:ser>
        <c:ser>
          <c:idx val="1"/>
          <c:order val="1"/>
          <c:tx>
            <c:strRef>
              <c:f>'Whole Country'!$X$692</c:f>
              <c:strCache>
                <c:ptCount val="1"/>
                <c:pt idx="0">
                  <c:v>No</c:v>
                </c:pt>
              </c:strCache>
            </c:strRef>
          </c:tx>
          <c:cat>
            <c:strRef>
              <c:f>'Whole Country'!$Y$690:$AA$690</c:f>
              <c:strCache>
                <c:ptCount val="3"/>
                <c:pt idx="0">
                  <c:v>Bonds</c:v>
                </c:pt>
                <c:pt idx="1">
                  <c:v>Transfers</c:v>
                </c:pt>
                <c:pt idx="2">
                  <c:v>Cancellations</c:v>
                </c:pt>
              </c:strCache>
            </c:strRef>
          </c:cat>
          <c:val>
            <c:numRef>
              <c:f>'Whole Country'!$Y$692:$AA$692</c:f>
              <c:numCache>
                <c:formatCode>0.00</c:formatCode>
                <c:ptCount val="3"/>
                <c:pt idx="0">
                  <c:v>48.387096774193552</c:v>
                </c:pt>
                <c:pt idx="1">
                  <c:v>43.07692307692308</c:v>
                </c:pt>
                <c:pt idx="2">
                  <c:v>46.875</c:v>
                </c:pt>
              </c:numCache>
            </c:numRef>
          </c:val>
        </c:ser>
        <c:axId val="118354688"/>
        <c:axId val="118356224"/>
      </c:barChart>
      <c:catAx>
        <c:axId val="118354688"/>
        <c:scaling>
          <c:orientation val="minMax"/>
        </c:scaling>
        <c:axPos val="b"/>
        <c:majorTickMark val="none"/>
        <c:tickLblPos val="nextTo"/>
        <c:crossAx val="118356224"/>
        <c:crosses val="autoZero"/>
        <c:auto val="1"/>
        <c:lblAlgn val="ctr"/>
        <c:lblOffset val="100"/>
      </c:catAx>
      <c:valAx>
        <c:axId val="118356224"/>
        <c:scaling>
          <c:orientation val="minMax"/>
        </c:scaling>
        <c:axPos val="l"/>
        <c:majorGridlines/>
        <c:title>
          <c:tx>
            <c:rich>
              <a:bodyPr rot="-5400000" vert="horz"/>
              <a:lstStyle/>
              <a:p>
                <a:pPr>
                  <a:defRPr/>
                </a:pPr>
                <a:r>
                  <a:rPr lang="en-US"/>
                  <a:t>Percentage</a:t>
                </a:r>
              </a:p>
            </c:rich>
          </c:tx>
          <c:layout/>
        </c:title>
        <c:numFmt formatCode="0" sourceLinked="0"/>
        <c:majorTickMark val="none"/>
        <c:tickLblPos val="nextTo"/>
        <c:crossAx val="118354688"/>
        <c:crosses val="autoZero"/>
        <c:crossBetween val="between"/>
      </c:valAx>
    </c:plotArea>
    <c:legend>
      <c:legendPos val="r"/>
      <c:layout>
        <c:manualLayout>
          <c:xMode val="edge"/>
          <c:yMode val="edge"/>
          <c:x val="0.85644408906717984"/>
          <c:y val="0.34532071131558323"/>
          <c:w val="0.12978654776586671"/>
          <c:h val="0.49156831519655775"/>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Fee discounting and transactional billing mark-ups</a:t>
            </a:r>
          </a:p>
        </c:rich>
      </c:tx>
      <c:layout/>
    </c:title>
    <c:plotArea>
      <c:layout>
        <c:manualLayout>
          <c:layoutTarget val="inner"/>
          <c:xMode val="edge"/>
          <c:yMode val="edge"/>
          <c:x val="0.11050094641784236"/>
          <c:y val="0.13015924975670176"/>
          <c:w val="0.7482380365105038"/>
          <c:h val="0.65676634521808375"/>
        </c:manualLayout>
      </c:layout>
      <c:barChart>
        <c:barDir val="col"/>
        <c:grouping val="clustered"/>
        <c:ser>
          <c:idx val="0"/>
          <c:order val="0"/>
          <c:tx>
            <c:strRef>
              <c:f>'Whole Country'!$AA$700</c:f>
              <c:strCache>
                <c:ptCount val="1"/>
                <c:pt idx="0">
                  <c:v>Low</c:v>
                </c:pt>
              </c:strCache>
            </c:strRef>
          </c:tx>
          <c:cat>
            <c:strRef>
              <c:f>'Whole Country'!$AB$699:$AC$699</c:f>
              <c:strCache>
                <c:ptCount val="2"/>
                <c:pt idx="0">
                  <c:v>Fee discount</c:v>
                </c:pt>
                <c:pt idx="1">
                  <c:v>Markup on transactional billing</c:v>
                </c:pt>
              </c:strCache>
            </c:strRef>
          </c:cat>
          <c:val>
            <c:numRef>
              <c:f>'Whole Country'!$AB$700:$AC$700</c:f>
              <c:numCache>
                <c:formatCode>0.00</c:formatCode>
                <c:ptCount val="2"/>
                <c:pt idx="0">
                  <c:v>2</c:v>
                </c:pt>
                <c:pt idx="1">
                  <c:v>2</c:v>
                </c:pt>
              </c:numCache>
            </c:numRef>
          </c:val>
        </c:ser>
        <c:ser>
          <c:idx val="1"/>
          <c:order val="1"/>
          <c:tx>
            <c:strRef>
              <c:f>'Whole Country'!$AA$701</c:f>
              <c:strCache>
                <c:ptCount val="1"/>
                <c:pt idx="0">
                  <c:v>Average </c:v>
                </c:pt>
              </c:strCache>
            </c:strRef>
          </c:tx>
          <c:cat>
            <c:strRef>
              <c:f>'Whole Country'!$AB$699:$AC$699</c:f>
              <c:strCache>
                <c:ptCount val="2"/>
                <c:pt idx="0">
                  <c:v>Fee discount</c:v>
                </c:pt>
                <c:pt idx="1">
                  <c:v>Markup on transactional billing</c:v>
                </c:pt>
              </c:strCache>
            </c:strRef>
          </c:cat>
          <c:val>
            <c:numRef>
              <c:f>'Whole Country'!$AB$701:$AC$701</c:f>
              <c:numCache>
                <c:formatCode>0.00</c:formatCode>
                <c:ptCount val="2"/>
                <c:pt idx="0">
                  <c:v>18.485294117647058</c:v>
                </c:pt>
                <c:pt idx="1">
                  <c:v>17.307843137254903</c:v>
                </c:pt>
              </c:numCache>
            </c:numRef>
          </c:val>
        </c:ser>
        <c:ser>
          <c:idx val="2"/>
          <c:order val="2"/>
          <c:tx>
            <c:strRef>
              <c:f>'Whole Country'!$AA$702</c:f>
              <c:strCache>
                <c:ptCount val="1"/>
                <c:pt idx="0">
                  <c:v>High</c:v>
                </c:pt>
              </c:strCache>
            </c:strRef>
          </c:tx>
          <c:cat>
            <c:strRef>
              <c:f>'Whole Country'!$AB$699:$AC$699</c:f>
              <c:strCache>
                <c:ptCount val="2"/>
                <c:pt idx="0">
                  <c:v>Fee discount</c:v>
                </c:pt>
                <c:pt idx="1">
                  <c:v>Markup on transactional billing</c:v>
                </c:pt>
              </c:strCache>
            </c:strRef>
          </c:cat>
          <c:val>
            <c:numRef>
              <c:f>'Whole Country'!$AB$702:$AC$702</c:f>
              <c:numCache>
                <c:formatCode>0.00</c:formatCode>
                <c:ptCount val="2"/>
                <c:pt idx="0">
                  <c:v>80</c:v>
                </c:pt>
                <c:pt idx="1">
                  <c:v>100</c:v>
                </c:pt>
              </c:numCache>
            </c:numRef>
          </c:val>
        </c:ser>
        <c:ser>
          <c:idx val="3"/>
          <c:order val="3"/>
          <c:tx>
            <c:strRef>
              <c:f>'Whole Country'!$AA$703</c:f>
              <c:strCache>
                <c:ptCount val="1"/>
                <c:pt idx="0">
                  <c:v>Don't as a %</c:v>
                </c:pt>
              </c:strCache>
            </c:strRef>
          </c:tx>
          <c:cat>
            <c:strRef>
              <c:f>'Whole Country'!$AB$699:$AC$699</c:f>
              <c:strCache>
                <c:ptCount val="2"/>
                <c:pt idx="0">
                  <c:v>Fee discount</c:v>
                </c:pt>
                <c:pt idx="1">
                  <c:v>Markup on transactional billing</c:v>
                </c:pt>
              </c:strCache>
            </c:strRef>
          </c:cat>
          <c:val>
            <c:numRef>
              <c:f>'Whole Country'!$AB$703:$AC$703</c:f>
              <c:numCache>
                <c:formatCode>0.00</c:formatCode>
                <c:ptCount val="2"/>
                <c:pt idx="0">
                  <c:v>12.068965517241379</c:v>
                </c:pt>
                <c:pt idx="1">
                  <c:v>87.281795511221944</c:v>
                </c:pt>
              </c:numCache>
            </c:numRef>
          </c:val>
        </c:ser>
        <c:axId val="67581440"/>
        <c:axId val="67583360"/>
      </c:barChart>
      <c:catAx>
        <c:axId val="67581440"/>
        <c:scaling>
          <c:orientation val="minMax"/>
        </c:scaling>
        <c:axPos val="b"/>
        <c:majorTickMark val="none"/>
        <c:tickLblPos val="nextTo"/>
        <c:crossAx val="67583360"/>
        <c:crosses val="autoZero"/>
        <c:auto val="1"/>
        <c:lblAlgn val="ctr"/>
        <c:lblOffset val="100"/>
      </c:catAx>
      <c:valAx>
        <c:axId val="67583360"/>
        <c:scaling>
          <c:orientation val="minMax"/>
        </c:scaling>
        <c:axPos val="l"/>
        <c:majorGridlines/>
        <c:title>
          <c:tx>
            <c:rich>
              <a:bodyPr rot="-5400000" vert="horz"/>
              <a:lstStyle/>
              <a:p>
                <a:pPr>
                  <a:defRPr/>
                </a:pPr>
                <a:r>
                  <a:rPr lang="en-ZA"/>
                  <a:t>Percentage</a:t>
                </a:r>
              </a:p>
            </c:rich>
          </c:tx>
          <c:layout/>
        </c:title>
        <c:numFmt formatCode="0" sourceLinked="0"/>
        <c:majorTickMark val="none"/>
        <c:tickLblPos val="nextTo"/>
        <c:crossAx val="67581440"/>
        <c:crosses val="autoZero"/>
        <c:crossBetween val="between"/>
      </c:valAx>
    </c:plotArea>
    <c:legend>
      <c:legendPos val="r"/>
      <c:layout>
        <c:manualLayout>
          <c:xMode val="edge"/>
          <c:yMode val="edge"/>
          <c:x val="0.85644408906717984"/>
          <c:y val="0.34532071131558351"/>
          <c:w val="0.14355587295951674"/>
          <c:h val="0.27090506945058834"/>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endParaRPr lang="en-US" sz="1100"/>
          </a:p>
          <a:p>
            <a:pPr>
              <a:defRPr sz="1100"/>
            </a:pPr>
            <a:r>
              <a:rPr lang="en-US" sz="1100"/>
              <a:t>Average fee discounting and transactional billing mark-ups</a:t>
            </a:r>
          </a:p>
        </c:rich>
      </c:tx>
      <c:layout/>
    </c:title>
    <c:plotArea>
      <c:layout/>
      <c:barChart>
        <c:barDir val="col"/>
        <c:grouping val="clustered"/>
        <c:ser>
          <c:idx val="0"/>
          <c:order val="0"/>
          <c:tx>
            <c:strRef>
              <c:f>'Whole Country'!$AB$802</c:f>
              <c:strCache>
                <c:ptCount val="1"/>
                <c:pt idx="0">
                  <c:v>Fee Discount</c:v>
                </c:pt>
              </c:strCache>
            </c:strRef>
          </c:tx>
          <c:cat>
            <c:strRef>
              <c:f>'Whole Country'!$AA$803:$AA$816</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Country'!$AB$803:$AB$816</c:f>
              <c:numCache>
                <c:formatCode>General</c:formatCode>
                <c:ptCount val="14"/>
                <c:pt idx="0">
                  <c:v>18</c:v>
                </c:pt>
                <c:pt idx="1">
                  <c:v>18.75</c:v>
                </c:pt>
                <c:pt idx="2">
                  <c:v>19.100000000000001</c:v>
                </c:pt>
                <c:pt idx="3">
                  <c:v>17.190000000000001</c:v>
                </c:pt>
                <c:pt idx="4">
                  <c:v>15.5</c:v>
                </c:pt>
                <c:pt idx="5">
                  <c:v>21.4</c:v>
                </c:pt>
                <c:pt idx="6">
                  <c:v>23.8</c:v>
                </c:pt>
                <c:pt idx="7">
                  <c:v>18.7</c:v>
                </c:pt>
                <c:pt idx="8">
                  <c:v>14.58</c:v>
                </c:pt>
                <c:pt idx="9">
                  <c:v>16</c:v>
                </c:pt>
                <c:pt idx="10">
                  <c:v>17.7</c:v>
                </c:pt>
                <c:pt idx="11">
                  <c:v>18</c:v>
                </c:pt>
                <c:pt idx="12">
                  <c:v>12.3</c:v>
                </c:pt>
                <c:pt idx="13">
                  <c:v>19.100000000000001</c:v>
                </c:pt>
              </c:numCache>
            </c:numRef>
          </c:val>
        </c:ser>
        <c:ser>
          <c:idx val="1"/>
          <c:order val="1"/>
          <c:tx>
            <c:strRef>
              <c:f>'Whole Country'!$AC$802</c:f>
              <c:strCache>
                <c:ptCount val="1"/>
                <c:pt idx="0">
                  <c:v>Transactional billing mark-up</c:v>
                </c:pt>
              </c:strCache>
            </c:strRef>
          </c:tx>
          <c:cat>
            <c:strRef>
              <c:f>'Whole Country'!$AA$803:$AA$816</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Country'!$AC$803:$AC$816</c:f>
              <c:numCache>
                <c:formatCode>General</c:formatCode>
                <c:ptCount val="14"/>
                <c:pt idx="0">
                  <c:v>17.3</c:v>
                </c:pt>
                <c:pt idx="1">
                  <c:v>12</c:v>
                </c:pt>
                <c:pt idx="2">
                  <c:v>20</c:v>
                </c:pt>
                <c:pt idx="3">
                  <c:v>12.9</c:v>
                </c:pt>
                <c:pt idx="4">
                  <c:v>5</c:v>
                </c:pt>
                <c:pt idx="5">
                  <c:v>23.7</c:v>
                </c:pt>
                <c:pt idx="6">
                  <c:v>14</c:v>
                </c:pt>
                <c:pt idx="7">
                  <c:v>33.9</c:v>
                </c:pt>
                <c:pt idx="8">
                  <c:v>0</c:v>
                </c:pt>
                <c:pt idx="9">
                  <c:v>25</c:v>
                </c:pt>
                <c:pt idx="10">
                  <c:v>9</c:v>
                </c:pt>
                <c:pt idx="11">
                  <c:v>10</c:v>
                </c:pt>
                <c:pt idx="12">
                  <c:v>0</c:v>
                </c:pt>
                <c:pt idx="13">
                  <c:v>14.1</c:v>
                </c:pt>
              </c:numCache>
            </c:numRef>
          </c:val>
        </c:ser>
        <c:axId val="66664320"/>
        <c:axId val="66707840"/>
      </c:barChart>
      <c:catAx>
        <c:axId val="66664320"/>
        <c:scaling>
          <c:orientation val="minMax"/>
        </c:scaling>
        <c:axPos val="b"/>
        <c:majorTickMark val="none"/>
        <c:tickLblPos val="nextTo"/>
        <c:crossAx val="66707840"/>
        <c:crosses val="autoZero"/>
        <c:auto val="1"/>
        <c:lblAlgn val="ctr"/>
        <c:lblOffset val="100"/>
      </c:catAx>
      <c:valAx>
        <c:axId val="66707840"/>
        <c:scaling>
          <c:orientation val="minMax"/>
        </c:scaling>
        <c:axPos val="l"/>
        <c:majorGridlines/>
        <c:title>
          <c:tx>
            <c:rich>
              <a:bodyPr/>
              <a:lstStyle/>
              <a:p>
                <a:pPr>
                  <a:defRPr/>
                </a:pPr>
                <a:r>
                  <a:rPr lang="en-US"/>
                  <a:t>Percentage </a:t>
                </a:r>
              </a:p>
            </c:rich>
          </c:tx>
          <c:layout/>
        </c:title>
        <c:numFmt formatCode="0" sourceLinked="0"/>
        <c:majorTickMark val="none"/>
        <c:tickLblPos val="nextTo"/>
        <c:crossAx val="66664320"/>
        <c:crosses val="autoZero"/>
        <c:crossBetween val="between"/>
      </c:valAx>
    </c:plotArea>
    <c:legend>
      <c:legendPos val="b"/>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Conveyancer/Secretary ratio</a:t>
            </a:r>
          </a:p>
        </c:rich>
      </c:tx>
      <c:layout>
        <c:manualLayout>
          <c:xMode val="edge"/>
          <c:yMode val="edge"/>
          <c:x val="0.34539713023676916"/>
          <c:y val="5.1416771101810831E-2"/>
        </c:manualLayout>
      </c:layout>
      <c:overlay val="1"/>
    </c:title>
    <c:plotArea>
      <c:layout>
        <c:manualLayout>
          <c:layoutTarget val="inner"/>
          <c:xMode val="edge"/>
          <c:yMode val="edge"/>
          <c:x val="0.13970552461430125"/>
          <c:y val="0.17464866441244478"/>
          <c:w val="0.73970734908136448"/>
          <c:h val="0.79822506561679785"/>
        </c:manualLayout>
      </c:layout>
      <c:pieChart>
        <c:varyColors val="1"/>
        <c:ser>
          <c:idx val="0"/>
          <c:order val="0"/>
          <c:dLbls>
            <c:numFmt formatCode="#,##0.00" sourceLinked="0"/>
            <c:dLblPos val="inEnd"/>
            <c:showVal val="1"/>
          </c:dLbls>
          <c:cat>
            <c:strRef>
              <c:f>'Whole Country'!$AC$686:$AC$687</c:f>
              <c:strCache>
                <c:ptCount val="2"/>
                <c:pt idx="0">
                  <c:v>Conveyancers</c:v>
                </c:pt>
                <c:pt idx="1">
                  <c:v>Secretaries</c:v>
                </c:pt>
              </c:strCache>
            </c:strRef>
          </c:cat>
          <c:val>
            <c:numRef>
              <c:f>'Whole Country'!$AD$686:$AD$687</c:f>
              <c:numCache>
                <c:formatCode>0.00</c:formatCode>
                <c:ptCount val="2"/>
                <c:pt idx="0" formatCode="General">
                  <c:v>1</c:v>
                </c:pt>
                <c:pt idx="1">
                  <c:v>1.8748435544430537</c:v>
                </c:pt>
              </c:numCache>
            </c:numRef>
          </c:val>
        </c:ser>
        <c:firstSliceAng val="53"/>
      </c:pieChart>
    </c:plotArea>
    <c:legend>
      <c:legendPos val="r"/>
      <c:layout/>
      <c:overlay val="1"/>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Average monthly salaries of senior secretaries</a:t>
            </a:r>
          </a:p>
        </c:rich>
      </c:tx>
      <c:layout/>
    </c:title>
    <c:plotArea>
      <c:layout>
        <c:manualLayout>
          <c:layoutTarget val="inner"/>
          <c:xMode val="edge"/>
          <c:yMode val="edge"/>
          <c:x val="0.11050094641784236"/>
          <c:y val="0.13015924975670176"/>
          <c:w val="0.7482380365105048"/>
          <c:h val="0.65676634521808375"/>
        </c:manualLayout>
      </c:layout>
      <c:barChart>
        <c:barDir val="col"/>
        <c:grouping val="stacked"/>
        <c:ser>
          <c:idx val="0"/>
          <c:order val="0"/>
          <c:tx>
            <c:strRef>
              <c:f>'Whole Country'!$AH$706</c:f>
              <c:strCache>
                <c:ptCount val="1"/>
                <c:pt idx="0">
                  <c:v>Below R5 000</c:v>
                </c:pt>
              </c:strCache>
            </c:strRef>
          </c:tx>
          <c:cat>
            <c:strRef>
              <c:f>'Whole Country'!$AI$705:$AV$705</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Country'!$AI$706:$AV$706</c:f>
              <c:numCache>
                <c:formatCode>0.0</c:formatCode>
                <c:ptCount val="14"/>
                <c:pt idx="0">
                  <c:v>4.9586776859504136</c:v>
                </c:pt>
                <c:pt idx="1">
                  <c:v>10</c:v>
                </c:pt>
                <c:pt idx="2">
                  <c:v>6.024096385542169</c:v>
                </c:pt>
                <c:pt idx="3">
                  <c:v>2.6315789473684208</c:v>
                </c:pt>
                <c:pt idx="4">
                  <c:v>5.8823529411764701</c:v>
                </c:pt>
                <c:pt idx="5">
                  <c:v>4.4444444444444446</c:v>
                </c:pt>
                <c:pt idx="6">
                  <c:v>7.6923076923076925</c:v>
                </c:pt>
                <c:pt idx="7">
                  <c:v>0</c:v>
                </c:pt>
                <c:pt idx="8">
                  <c:v>0</c:v>
                </c:pt>
                <c:pt idx="9">
                  <c:v>3.8461538461538463</c:v>
                </c:pt>
                <c:pt idx="10">
                  <c:v>0</c:v>
                </c:pt>
                <c:pt idx="11">
                  <c:v>0</c:v>
                </c:pt>
                <c:pt idx="12">
                  <c:v>33.333333333333329</c:v>
                </c:pt>
                <c:pt idx="13">
                  <c:v>4.2857142857142856</c:v>
                </c:pt>
              </c:numCache>
            </c:numRef>
          </c:val>
        </c:ser>
        <c:ser>
          <c:idx val="1"/>
          <c:order val="1"/>
          <c:tx>
            <c:strRef>
              <c:f>'Whole Country'!$AH$707</c:f>
              <c:strCache>
                <c:ptCount val="1"/>
                <c:pt idx="0">
                  <c:v>Between R5 000 and R10 000</c:v>
                </c:pt>
              </c:strCache>
            </c:strRef>
          </c:tx>
          <c:cat>
            <c:strRef>
              <c:f>'Whole Country'!$AI$705:$AV$705</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Country'!$AI$707:$AV$707</c:f>
              <c:numCache>
                <c:formatCode>0.0</c:formatCode>
                <c:ptCount val="14"/>
                <c:pt idx="0">
                  <c:v>34.986225895316799</c:v>
                </c:pt>
                <c:pt idx="1">
                  <c:v>50</c:v>
                </c:pt>
                <c:pt idx="2">
                  <c:v>43.373493975903614</c:v>
                </c:pt>
                <c:pt idx="3">
                  <c:v>47.368421052631575</c:v>
                </c:pt>
                <c:pt idx="4">
                  <c:v>35.294117647058826</c:v>
                </c:pt>
                <c:pt idx="5">
                  <c:v>8.8888888888888893</c:v>
                </c:pt>
                <c:pt idx="6">
                  <c:v>38.461538461538467</c:v>
                </c:pt>
                <c:pt idx="7">
                  <c:v>18.518518518518519</c:v>
                </c:pt>
                <c:pt idx="8">
                  <c:v>41.666666666666671</c:v>
                </c:pt>
                <c:pt idx="9">
                  <c:v>57.692307692307686</c:v>
                </c:pt>
                <c:pt idx="10">
                  <c:v>50</c:v>
                </c:pt>
                <c:pt idx="11">
                  <c:v>50</c:v>
                </c:pt>
                <c:pt idx="12">
                  <c:v>50</c:v>
                </c:pt>
                <c:pt idx="13">
                  <c:v>27.142857142857142</c:v>
                </c:pt>
              </c:numCache>
            </c:numRef>
          </c:val>
        </c:ser>
        <c:ser>
          <c:idx val="2"/>
          <c:order val="2"/>
          <c:tx>
            <c:strRef>
              <c:f>'Whole Country'!$AH$708</c:f>
              <c:strCache>
                <c:ptCount val="1"/>
                <c:pt idx="0">
                  <c:v>Between R10 000 and R20 000</c:v>
                </c:pt>
              </c:strCache>
            </c:strRef>
          </c:tx>
          <c:cat>
            <c:strRef>
              <c:f>'Whole Country'!$AI$705:$AV$705</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Country'!$AI$708:$AV$708</c:f>
              <c:numCache>
                <c:formatCode>0.0</c:formatCode>
                <c:ptCount val="14"/>
                <c:pt idx="0">
                  <c:v>50.413223140495866</c:v>
                </c:pt>
                <c:pt idx="1">
                  <c:v>40</c:v>
                </c:pt>
                <c:pt idx="2">
                  <c:v>48.80952380952381</c:v>
                </c:pt>
                <c:pt idx="3">
                  <c:v>47.368421052631575</c:v>
                </c:pt>
                <c:pt idx="4">
                  <c:v>35.294117647058826</c:v>
                </c:pt>
                <c:pt idx="5">
                  <c:v>46.666666666666664</c:v>
                </c:pt>
                <c:pt idx="6">
                  <c:v>53.846153846153847</c:v>
                </c:pt>
                <c:pt idx="7">
                  <c:v>66.666666666666657</c:v>
                </c:pt>
                <c:pt idx="8">
                  <c:v>58.333333333333336</c:v>
                </c:pt>
                <c:pt idx="9">
                  <c:v>38.461538461538467</c:v>
                </c:pt>
                <c:pt idx="10">
                  <c:v>50</c:v>
                </c:pt>
                <c:pt idx="11">
                  <c:v>50</c:v>
                </c:pt>
                <c:pt idx="12">
                  <c:v>8.3333333333333321</c:v>
                </c:pt>
                <c:pt idx="13">
                  <c:v>61.428571428571431</c:v>
                </c:pt>
              </c:numCache>
            </c:numRef>
          </c:val>
        </c:ser>
        <c:ser>
          <c:idx val="3"/>
          <c:order val="3"/>
          <c:tx>
            <c:strRef>
              <c:f>'Whole Country'!$AH$709</c:f>
              <c:strCache>
                <c:ptCount val="1"/>
                <c:pt idx="0">
                  <c:v>Above R20 000</c:v>
                </c:pt>
              </c:strCache>
            </c:strRef>
          </c:tx>
          <c:cat>
            <c:strRef>
              <c:f>'Whole Country'!$AI$705:$AV$705</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Country'!$AI$709:$AV$709</c:f>
              <c:numCache>
                <c:formatCode>0.0</c:formatCode>
                <c:ptCount val="14"/>
                <c:pt idx="0">
                  <c:v>9.48509485094851</c:v>
                </c:pt>
                <c:pt idx="1">
                  <c:v>0</c:v>
                </c:pt>
                <c:pt idx="2">
                  <c:v>2.3809523809523809</c:v>
                </c:pt>
                <c:pt idx="3">
                  <c:v>2.6315789473684208</c:v>
                </c:pt>
                <c:pt idx="4">
                  <c:v>23.52941176470588</c:v>
                </c:pt>
                <c:pt idx="5">
                  <c:v>40</c:v>
                </c:pt>
                <c:pt idx="6" formatCode="General">
                  <c:v>0</c:v>
                </c:pt>
                <c:pt idx="7">
                  <c:v>14.814814814814813</c:v>
                </c:pt>
                <c:pt idx="8">
                  <c:v>0</c:v>
                </c:pt>
                <c:pt idx="9">
                  <c:v>0</c:v>
                </c:pt>
                <c:pt idx="10">
                  <c:v>0</c:v>
                </c:pt>
                <c:pt idx="11">
                  <c:v>0</c:v>
                </c:pt>
                <c:pt idx="12">
                  <c:v>8.3333333333333321</c:v>
                </c:pt>
                <c:pt idx="13">
                  <c:v>7.1428571428571423</c:v>
                </c:pt>
              </c:numCache>
            </c:numRef>
          </c:val>
        </c:ser>
        <c:gapWidth val="100"/>
        <c:overlap val="100"/>
        <c:axId val="118969088"/>
        <c:axId val="118970624"/>
      </c:barChart>
      <c:catAx>
        <c:axId val="118969088"/>
        <c:scaling>
          <c:orientation val="minMax"/>
        </c:scaling>
        <c:axPos val="b"/>
        <c:majorTickMark val="none"/>
        <c:tickLblPos val="nextTo"/>
        <c:txPr>
          <a:bodyPr/>
          <a:lstStyle/>
          <a:p>
            <a:pPr>
              <a:defRPr sz="900"/>
            </a:pPr>
            <a:endParaRPr lang="en-US"/>
          </a:p>
        </c:txPr>
        <c:crossAx val="118970624"/>
        <c:crosses val="autoZero"/>
        <c:auto val="1"/>
        <c:lblAlgn val="ctr"/>
        <c:lblOffset val="100"/>
      </c:catAx>
      <c:valAx>
        <c:axId val="118970624"/>
        <c:scaling>
          <c:orientation val="minMax"/>
          <c:max val="100"/>
        </c:scaling>
        <c:axPos val="l"/>
        <c:majorGridlines/>
        <c:title>
          <c:tx>
            <c:rich>
              <a:bodyPr rot="-5400000" vert="horz"/>
              <a:lstStyle/>
              <a:p>
                <a:pPr>
                  <a:defRPr/>
                </a:pPr>
                <a:r>
                  <a:rPr lang="en-ZA"/>
                  <a:t>Percentage</a:t>
                </a:r>
              </a:p>
            </c:rich>
          </c:tx>
          <c:layout/>
        </c:title>
        <c:numFmt formatCode="General" sourceLinked="0"/>
        <c:majorTickMark val="none"/>
        <c:tickLblPos val="nextTo"/>
        <c:crossAx val="118969088"/>
        <c:crosses val="autoZero"/>
        <c:crossBetween val="between"/>
      </c:valAx>
    </c:plotArea>
    <c:legend>
      <c:legendPos val="b"/>
      <c:layout>
        <c:manualLayout>
          <c:xMode val="edge"/>
          <c:yMode val="edge"/>
          <c:x val="0"/>
          <c:y val="0.89959055118110232"/>
          <c:w val="0.98354182650245647"/>
          <c:h val="8.559463400408282E-2"/>
        </c:manualLayout>
      </c:layou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US" sz="1100"/>
              <a:t>Average monthly salaries of junior secretaries</a:t>
            </a:r>
          </a:p>
        </c:rich>
      </c:tx>
      <c:layout/>
    </c:title>
    <c:plotArea>
      <c:layout>
        <c:manualLayout>
          <c:layoutTarget val="inner"/>
          <c:xMode val="edge"/>
          <c:yMode val="edge"/>
          <c:x val="0.11050094641784236"/>
          <c:y val="0.13015924975670176"/>
          <c:w val="0.74823803651050524"/>
          <c:h val="0.65676634521808375"/>
        </c:manualLayout>
      </c:layout>
      <c:barChart>
        <c:barDir val="col"/>
        <c:grouping val="stacked"/>
        <c:ser>
          <c:idx val="0"/>
          <c:order val="0"/>
          <c:tx>
            <c:strRef>
              <c:f>'Whole Country'!$AH$713</c:f>
              <c:strCache>
                <c:ptCount val="1"/>
                <c:pt idx="0">
                  <c:v>Below R5 000</c:v>
                </c:pt>
              </c:strCache>
            </c:strRef>
          </c:tx>
          <c:cat>
            <c:strRef>
              <c:f>'Whole Country'!$AI$712:$AV$712</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Country'!$AI$713:$AV$713</c:f>
              <c:numCache>
                <c:formatCode>0.0</c:formatCode>
                <c:ptCount val="14"/>
                <c:pt idx="0">
                  <c:v>23.52941176470588</c:v>
                </c:pt>
                <c:pt idx="1">
                  <c:v>0</c:v>
                </c:pt>
                <c:pt idx="2">
                  <c:v>25</c:v>
                </c:pt>
                <c:pt idx="3">
                  <c:v>50</c:v>
                </c:pt>
                <c:pt idx="4">
                  <c:v>25</c:v>
                </c:pt>
                <c:pt idx="5">
                  <c:v>7.6923076923076925</c:v>
                </c:pt>
                <c:pt idx="6">
                  <c:v>25</c:v>
                </c:pt>
                <c:pt idx="7">
                  <c:v>16.666666666666664</c:v>
                </c:pt>
                <c:pt idx="8">
                  <c:v>0</c:v>
                </c:pt>
                <c:pt idx="9">
                  <c:v>35</c:v>
                </c:pt>
                <c:pt idx="10">
                  <c:v>23.076923076923077</c:v>
                </c:pt>
                <c:pt idx="11">
                  <c:v>50</c:v>
                </c:pt>
                <c:pt idx="12">
                  <c:v>83.333333333333343</c:v>
                </c:pt>
                <c:pt idx="13">
                  <c:v>10.526315789473683</c:v>
                </c:pt>
              </c:numCache>
            </c:numRef>
          </c:val>
        </c:ser>
        <c:ser>
          <c:idx val="1"/>
          <c:order val="1"/>
          <c:tx>
            <c:strRef>
              <c:f>'Whole Country'!$AH$714</c:f>
              <c:strCache>
                <c:ptCount val="1"/>
                <c:pt idx="0">
                  <c:v>Between R5 000 and R10 000</c:v>
                </c:pt>
              </c:strCache>
            </c:strRef>
          </c:tx>
          <c:cat>
            <c:strRef>
              <c:f>'Whole Country'!$AI$712:$AV$712</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Country'!$AI$714:$AV$714</c:f>
              <c:numCache>
                <c:formatCode>0.0</c:formatCode>
                <c:ptCount val="14"/>
                <c:pt idx="0">
                  <c:v>66.968325791855193</c:v>
                </c:pt>
                <c:pt idx="1">
                  <c:v>100</c:v>
                </c:pt>
                <c:pt idx="2">
                  <c:v>72.916666666666657</c:v>
                </c:pt>
                <c:pt idx="3">
                  <c:v>45.454545454545453</c:v>
                </c:pt>
                <c:pt idx="4">
                  <c:v>50</c:v>
                </c:pt>
                <c:pt idx="5">
                  <c:v>50</c:v>
                </c:pt>
                <c:pt idx="6">
                  <c:v>75</c:v>
                </c:pt>
                <c:pt idx="7">
                  <c:v>72.222222222222214</c:v>
                </c:pt>
                <c:pt idx="8">
                  <c:v>100</c:v>
                </c:pt>
                <c:pt idx="9">
                  <c:v>65</c:v>
                </c:pt>
                <c:pt idx="10">
                  <c:v>76.923076923076934</c:v>
                </c:pt>
                <c:pt idx="11">
                  <c:v>50</c:v>
                </c:pt>
                <c:pt idx="12">
                  <c:v>16.666666666666664</c:v>
                </c:pt>
                <c:pt idx="13">
                  <c:v>78.94736842105263</c:v>
                </c:pt>
              </c:numCache>
            </c:numRef>
          </c:val>
        </c:ser>
        <c:ser>
          <c:idx val="2"/>
          <c:order val="2"/>
          <c:tx>
            <c:strRef>
              <c:f>'Whole Country'!$AH$715</c:f>
              <c:strCache>
                <c:ptCount val="1"/>
                <c:pt idx="0">
                  <c:v>Between R10 000 and R20 000</c:v>
                </c:pt>
              </c:strCache>
            </c:strRef>
          </c:tx>
          <c:cat>
            <c:strRef>
              <c:f>'Whole Country'!$AI$712:$AV$712</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Country'!$AI$715:$AV$715</c:f>
              <c:numCache>
                <c:formatCode>0.0</c:formatCode>
                <c:ptCount val="14"/>
                <c:pt idx="0">
                  <c:v>9.502262443438914</c:v>
                </c:pt>
                <c:pt idx="1">
                  <c:v>0</c:v>
                </c:pt>
                <c:pt idx="2">
                  <c:v>2.083333333333333</c:v>
                </c:pt>
                <c:pt idx="3">
                  <c:v>4.5454545454545459</c:v>
                </c:pt>
                <c:pt idx="4">
                  <c:v>25</c:v>
                </c:pt>
                <c:pt idx="5">
                  <c:v>42.307692307692307</c:v>
                </c:pt>
                <c:pt idx="6">
                  <c:v>0</c:v>
                </c:pt>
                <c:pt idx="7">
                  <c:v>11.111111111111111</c:v>
                </c:pt>
                <c:pt idx="8">
                  <c:v>0</c:v>
                </c:pt>
                <c:pt idx="9">
                  <c:v>0</c:v>
                </c:pt>
                <c:pt idx="10">
                  <c:v>0</c:v>
                </c:pt>
                <c:pt idx="11">
                  <c:v>0</c:v>
                </c:pt>
                <c:pt idx="12">
                  <c:v>0</c:v>
                </c:pt>
                <c:pt idx="13">
                  <c:v>10.526315789473683</c:v>
                </c:pt>
              </c:numCache>
            </c:numRef>
          </c:val>
        </c:ser>
        <c:ser>
          <c:idx val="3"/>
          <c:order val="3"/>
          <c:tx>
            <c:strRef>
              <c:f>'Whole Country'!$AH$716</c:f>
              <c:strCache>
                <c:ptCount val="1"/>
                <c:pt idx="0">
                  <c:v>Above R20 000</c:v>
                </c:pt>
              </c:strCache>
            </c:strRef>
          </c:tx>
          <c:cat>
            <c:strRef>
              <c:f>'Whole Country'!$AI$712:$AV$712</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Country'!$AI$716:$AV$716</c:f>
              <c:numCache>
                <c:formatCode>0.0</c:formatCode>
                <c:ptCount val="14"/>
                <c:pt idx="0">
                  <c:v>0</c:v>
                </c:pt>
                <c:pt idx="1">
                  <c:v>0</c:v>
                </c:pt>
                <c:pt idx="2">
                  <c:v>0</c:v>
                </c:pt>
                <c:pt idx="3">
                  <c:v>0</c:v>
                </c:pt>
                <c:pt idx="4">
                  <c:v>0</c:v>
                </c:pt>
                <c:pt idx="5">
                  <c:v>0</c:v>
                </c:pt>
                <c:pt idx="6" formatCode="General">
                  <c:v>0</c:v>
                </c:pt>
                <c:pt idx="7">
                  <c:v>0</c:v>
                </c:pt>
                <c:pt idx="8">
                  <c:v>0</c:v>
                </c:pt>
                <c:pt idx="9">
                  <c:v>0</c:v>
                </c:pt>
                <c:pt idx="10">
                  <c:v>0</c:v>
                </c:pt>
                <c:pt idx="11">
                  <c:v>0</c:v>
                </c:pt>
                <c:pt idx="12">
                  <c:v>0</c:v>
                </c:pt>
                <c:pt idx="13">
                  <c:v>0</c:v>
                </c:pt>
              </c:numCache>
            </c:numRef>
          </c:val>
        </c:ser>
        <c:ser>
          <c:idx val="4"/>
          <c:order val="4"/>
          <c:tx>
            <c:strRef>
              <c:f>'Whole Country'!$AH$717</c:f>
              <c:strCache>
                <c:ptCount val="1"/>
              </c:strCache>
            </c:strRef>
          </c:tx>
          <c:cat>
            <c:strRef>
              <c:f>'Whole Country'!$AI$712:$AV$712</c:f>
              <c:strCache>
                <c:ptCount val="14"/>
                <c:pt idx="0">
                  <c:v>National Average</c:v>
                </c:pt>
                <c:pt idx="1">
                  <c:v>Bloemfontein</c:v>
                </c:pt>
                <c:pt idx="2">
                  <c:v>Cape Town</c:v>
                </c:pt>
                <c:pt idx="3">
                  <c:v>Durban</c:v>
                </c:pt>
                <c:pt idx="4">
                  <c:v>Jhb - East</c:v>
                </c:pt>
                <c:pt idx="5">
                  <c:v>Jhb - Sandton</c:v>
                </c:pt>
                <c:pt idx="6">
                  <c:v>Jhb - South</c:v>
                </c:pt>
                <c:pt idx="7">
                  <c:v>Jhb - West</c:v>
                </c:pt>
                <c:pt idx="8">
                  <c:v>Nelspruit</c:v>
                </c:pt>
                <c:pt idx="9">
                  <c:v>PE/EL</c:v>
                </c:pt>
                <c:pt idx="10">
                  <c:v>Pietermaritzburg</c:v>
                </c:pt>
                <c:pt idx="11">
                  <c:v>Polokwane</c:v>
                </c:pt>
                <c:pt idx="12">
                  <c:v>Potchefstroom</c:v>
                </c:pt>
                <c:pt idx="13">
                  <c:v>Pretoria</c:v>
                </c:pt>
              </c:strCache>
            </c:strRef>
          </c:cat>
          <c:val>
            <c:numRef>
              <c:f>'Whole Country'!$AI$717:$AW$717</c:f>
              <c:numCache>
                <c:formatCode>General</c:formatCode>
                <c:ptCount val="15"/>
              </c:numCache>
            </c:numRef>
          </c:val>
        </c:ser>
        <c:overlap val="100"/>
        <c:axId val="118849920"/>
        <c:axId val="118851456"/>
      </c:barChart>
      <c:catAx>
        <c:axId val="118849920"/>
        <c:scaling>
          <c:orientation val="minMax"/>
        </c:scaling>
        <c:axPos val="b"/>
        <c:majorTickMark val="none"/>
        <c:tickLblPos val="nextTo"/>
        <c:crossAx val="118851456"/>
        <c:crosses val="autoZero"/>
        <c:auto val="1"/>
        <c:lblAlgn val="ctr"/>
        <c:lblOffset val="100"/>
      </c:catAx>
      <c:valAx>
        <c:axId val="118851456"/>
        <c:scaling>
          <c:orientation val="minMax"/>
          <c:max val="100"/>
        </c:scaling>
        <c:axPos val="l"/>
        <c:majorGridlines/>
        <c:title>
          <c:tx>
            <c:rich>
              <a:bodyPr rot="-5400000" vert="horz"/>
              <a:lstStyle/>
              <a:p>
                <a:pPr>
                  <a:defRPr/>
                </a:pPr>
                <a:r>
                  <a:rPr lang="en-ZA"/>
                  <a:t>Percentage</a:t>
                </a:r>
              </a:p>
            </c:rich>
          </c:tx>
          <c:layout/>
        </c:title>
        <c:numFmt formatCode="General" sourceLinked="0"/>
        <c:majorTickMark val="none"/>
        <c:tickLblPos val="nextTo"/>
        <c:crossAx val="118849920"/>
        <c:crosses val="autoZero"/>
        <c:crossBetween val="between"/>
      </c:valAx>
    </c:plotArea>
    <c:legend>
      <c:legendPos val="b"/>
      <c:legendEntry>
        <c:idx val="4"/>
        <c:delete val="1"/>
      </c:legendEntry>
      <c:layout>
        <c:manualLayout>
          <c:xMode val="edge"/>
          <c:yMode val="edge"/>
          <c:x val="0"/>
          <c:y val="0.90069395171757372"/>
          <c:w val="1"/>
          <c:h val="8.4654033630411588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ZA"/>
  <c:style val="32"/>
  <c:chart>
    <c:title>
      <c:tx>
        <c:rich>
          <a:bodyPr/>
          <a:lstStyle/>
          <a:p>
            <a:pPr>
              <a:defRPr sz="1100"/>
            </a:pPr>
            <a:r>
              <a:rPr lang="en-US" sz="1100"/>
              <a:t>Postage and Petties Recovery - Transfers</a:t>
            </a:r>
          </a:p>
        </c:rich>
      </c:tx>
      <c:layout/>
    </c:title>
    <c:plotArea>
      <c:layout/>
      <c:stockChart>
        <c:ser>
          <c:idx val="0"/>
          <c:order val="0"/>
          <c:tx>
            <c:strRef>
              <c:f>'Whole Country'!$L$734</c:f>
              <c:strCache>
                <c:ptCount val="1"/>
                <c:pt idx="0">
                  <c:v>Median</c:v>
                </c:pt>
              </c:strCache>
            </c:strRef>
          </c:tx>
          <c:spPr>
            <a:ln w="66675">
              <a:noFill/>
            </a:ln>
          </c:spPr>
          <c:marker>
            <c:symbol val="none"/>
          </c:marker>
          <c:cat>
            <c:strRef>
              <c:f>'Whole Country'!$K$735:$K$748</c:f>
              <c:strCache>
                <c:ptCount val="14"/>
                <c:pt idx="0">
                  <c:v>National Average</c:v>
                </c:pt>
                <c:pt idx="1">
                  <c:v>Bloemfontein</c:v>
                </c:pt>
                <c:pt idx="2">
                  <c:v>Cape Town</c:v>
                </c:pt>
                <c:pt idx="3">
                  <c:v>Durban</c:v>
                </c:pt>
                <c:pt idx="4">
                  <c:v>Jhb - East</c:v>
                </c:pt>
                <c:pt idx="5">
                  <c:v>Jhb - Sandton</c:v>
                </c:pt>
                <c:pt idx="6">
                  <c:v>Jhb - South</c:v>
                </c:pt>
                <c:pt idx="7">
                  <c:v>Jhb - West</c:v>
                </c:pt>
                <c:pt idx="8">
                  <c:v>Neslspruit</c:v>
                </c:pt>
                <c:pt idx="9">
                  <c:v>PE/EL</c:v>
                </c:pt>
                <c:pt idx="10">
                  <c:v>Pietermaritzburg</c:v>
                </c:pt>
                <c:pt idx="11">
                  <c:v>Polokwane</c:v>
                </c:pt>
                <c:pt idx="12">
                  <c:v>Potchefstroom</c:v>
                </c:pt>
                <c:pt idx="13">
                  <c:v>Pretoria</c:v>
                </c:pt>
              </c:strCache>
            </c:strRef>
          </c:cat>
          <c:val>
            <c:numRef>
              <c:f>'Whole Country'!$L$735:$L$748</c:f>
              <c:numCache>
                <c:formatCode>General</c:formatCode>
                <c:ptCount val="14"/>
                <c:pt idx="0">
                  <c:v>450</c:v>
                </c:pt>
                <c:pt idx="1">
                  <c:v>350</c:v>
                </c:pt>
                <c:pt idx="2">
                  <c:v>450</c:v>
                </c:pt>
                <c:pt idx="3">
                  <c:v>400</c:v>
                </c:pt>
                <c:pt idx="4">
                  <c:v>450</c:v>
                </c:pt>
                <c:pt idx="5">
                  <c:v>500</c:v>
                </c:pt>
                <c:pt idx="6">
                  <c:v>500</c:v>
                </c:pt>
                <c:pt idx="7">
                  <c:v>475</c:v>
                </c:pt>
                <c:pt idx="8">
                  <c:v>450</c:v>
                </c:pt>
                <c:pt idx="9">
                  <c:v>400</c:v>
                </c:pt>
                <c:pt idx="10">
                  <c:v>350</c:v>
                </c:pt>
                <c:pt idx="11">
                  <c:v>475</c:v>
                </c:pt>
                <c:pt idx="12">
                  <c:v>485</c:v>
                </c:pt>
                <c:pt idx="13">
                  <c:v>500</c:v>
                </c:pt>
              </c:numCache>
            </c:numRef>
          </c:val>
        </c:ser>
        <c:ser>
          <c:idx val="1"/>
          <c:order val="1"/>
          <c:tx>
            <c:strRef>
              <c:f>'Whole Country'!$M$734</c:f>
              <c:strCache>
                <c:ptCount val="1"/>
                <c:pt idx="0">
                  <c:v>High</c:v>
                </c:pt>
              </c:strCache>
            </c:strRef>
          </c:tx>
          <c:spPr>
            <a:ln w="66675">
              <a:noFill/>
            </a:ln>
          </c:spPr>
          <c:marker>
            <c:symbol val="none"/>
          </c:marker>
          <c:cat>
            <c:strRef>
              <c:f>'Whole Country'!$K$735:$K$748</c:f>
              <c:strCache>
                <c:ptCount val="14"/>
                <c:pt idx="0">
                  <c:v>National Average</c:v>
                </c:pt>
                <c:pt idx="1">
                  <c:v>Bloemfontein</c:v>
                </c:pt>
                <c:pt idx="2">
                  <c:v>Cape Town</c:v>
                </c:pt>
                <c:pt idx="3">
                  <c:v>Durban</c:v>
                </c:pt>
                <c:pt idx="4">
                  <c:v>Jhb - East</c:v>
                </c:pt>
                <c:pt idx="5">
                  <c:v>Jhb - Sandton</c:v>
                </c:pt>
                <c:pt idx="6">
                  <c:v>Jhb - South</c:v>
                </c:pt>
                <c:pt idx="7">
                  <c:v>Jhb - West</c:v>
                </c:pt>
                <c:pt idx="8">
                  <c:v>Neslspruit</c:v>
                </c:pt>
                <c:pt idx="9">
                  <c:v>PE/EL</c:v>
                </c:pt>
                <c:pt idx="10">
                  <c:v>Pietermaritzburg</c:v>
                </c:pt>
                <c:pt idx="11">
                  <c:v>Polokwane</c:v>
                </c:pt>
                <c:pt idx="12">
                  <c:v>Potchefstroom</c:v>
                </c:pt>
                <c:pt idx="13">
                  <c:v>Pretoria</c:v>
                </c:pt>
              </c:strCache>
            </c:strRef>
          </c:cat>
          <c:val>
            <c:numRef>
              <c:f>'Whole Country'!$M$735:$M$748</c:f>
              <c:numCache>
                <c:formatCode>General</c:formatCode>
                <c:ptCount val="14"/>
                <c:pt idx="0">
                  <c:v>1000</c:v>
                </c:pt>
                <c:pt idx="1">
                  <c:v>800</c:v>
                </c:pt>
                <c:pt idx="2">
                  <c:v>950</c:v>
                </c:pt>
                <c:pt idx="3">
                  <c:v>800</c:v>
                </c:pt>
                <c:pt idx="4">
                  <c:v>550</c:v>
                </c:pt>
                <c:pt idx="5">
                  <c:v>900</c:v>
                </c:pt>
                <c:pt idx="6">
                  <c:v>750</c:v>
                </c:pt>
                <c:pt idx="7">
                  <c:v>750</c:v>
                </c:pt>
                <c:pt idx="8">
                  <c:v>850</c:v>
                </c:pt>
                <c:pt idx="9">
                  <c:v>670</c:v>
                </c:pt>
                <c:pt idx="10">
                  <c:v>500</c:v>
                </c:pt>
                <c:pt idx="11">
                  <c:v>650</c:v>
                </c:pt>
                <c:pt idx="12">
                  <c:v>550</c:v>
                </c:pt>
                <c:pt idx="13">
                  <c:v>1000</c:v>
                </c:pt>
              </c:numCache>
            </c:numRef>
          </c:val>
        </c:ser>
        <c:ser>
          <c:idx val="2"/>
          <c:order val="2"/>
          <c:tx>
            <c:strRef>
              <c:f>'Whole Country'!$N$734</c:f>
              <c:strCache>
                <c:ptCount val="1"/>
                <c:pt idx="0">
                  <c:v>Lower 1/4</c:v>
                </c:pt>
              </c:strCache>
            </c:strRef>
          </c:tx>
          <c:spPr>
            <a:ln w="66675">
              <a:noFill/>
            </a:ln>
          </c:spPr>
          <c:marker>
            <c:symbol val="none"/>
          </c:marker>
          <c:cat>
            <c:strRef>
              <c:f>'Whole Country'!$K$735:$K$748</c:f>
              <c:strCache>
                <c:ptCount val="14"/>
                <c:pt idx="0">
                  <c:v>National Average</c:v>
                </c:pt>
                <c:pt idx="1">
                  <c:v>Bloemfontein</c:v>
                </c:pt>
                <c:pt idx="2">
                  <c:v>Cape Town</c:v>
                </c:pt>
                <c:pt idx="3">
                  <c:v>Durban</c:v>
                </c:pt>
                <c:pt idx="4">
                  <c:v>Jhb - East</c:v>
                </c:pt>
                <c:pt idx="5">
                  <c:v>Jhb - Sandton</c:v>
                </c:pt>
                <c:pt idx="6">
                  <c:v>Jhb - South</c:v>
                </c:pt>
                <c:pt idx="7">
                  <c:v>Jhb - West</c:v>
                </c:pt>
                <c:pt idx="8">
                  <c:v>Neslspruit</c:v>
                </c:pt>
                <c:pt idx="9">
                  <c:v>PE/EL</c:v>
                </c:pt>
                <c:pt idx="10">
                  <c:v>Pietermaritzburg</c:v>
                </c:pt>
                <c:pt idx="11">
                  <c:v>Polokwane</c:v>
                </c:pt>
                <c:pt idx="12">
                  <c:v>Potchefstroom</c:v>
                </c:pt>
                <c:pt idx="13">
                  <c:v>Pretoria</c:v>
                </c:pt>
              </c:strCache>
            </c:strRef>
          </c:cat>
          <c:val>
            <c:numRef>
              <c:f>'Whole Country'!$N$735:$N$748</c:f>
              <c:numCache>
                <c:formatCode>General</c:formatCode>
                <c:ptCount val="14"/>
                <c:pt idx="0">
                  <c:v>350</c:v>
                </c:pt>
                <c:pt idx="1">
                  <c:v>344</c:v>
                </c:pt>
                <c:pt idx="2">
                  <c:v>350</c:v>
                </c:pt>
                <c:pt idx="3">
                  <c:v>350</c:v>
                </c:pt>
                <c:pt idx="4">
                  <c:v>400</c:v>
                </c:pt>
                <c:pt idx="5">
                  <c:v>450</c:v>
                </c:pt>
                <c:pt idx="6">
                  <c:v>425</c:v>
                </c:pt>
                <c:pt idx="7">
                  <c:v>350</c:v>
                </c:pt>
                <c:pt idx="8">
                  <c:v>350</c:v>
                </c:pt>
                <c:pt idx="9">
                  <c:v>288</c:v>
                </c:pt>
                <c:pt idx="10">
                  <c:v>350</c:v>
                </c:pt>
                <c:pt idx="11">
                  <c:v>450</c:v>
                </c:pt>
                <c:pt idx="12">
                  <c:v>350</c:v>
                </c:pt>
                <c:pt idx="13">
                  <c:v>400</c:v>
                </c:pt>
              </c:numCache>
            </c:numRef>
          </c:val>
        </c:ser>
        <c:ser>
          <c:idx val="3"/>
          <c:order val="3"/>
          <c:tx>
            <c:strRef>
              <c:f>'Whole Country'!$O$734</c:f>
              <c:strCache>
                <c:ptCount val="1"/>
                <c:pt idx="0">
                  <c:v>Three quarter</c:v>
                </c:pt>
              </c:strCache>
            </c:strRef>
          </c:tx>
          <c:spPr>
            <a:ln w="66675">
              <a:noFill/>
            </a:ln>
          </c:spPr>
          <c:marker>
            <c:symbol val="none"/>
          </c:marker>
          <c:cat>
            <c:strRef>
              <c:f>'Whole Country'!$K$735:$K$748</c:f>
              <c:strCache>
                <c:ptCount val="14"/>
                <c:pt idx="0">
                  <c:v>National Average</c:v>
                </c:pt>
                <c:pt idx="1">
                  <c:v>Bloemfontein</c:v>
                </c:pt>
                <c:pt idx="2">
                  <c:v>Cape Town</c:v>
                </c:pt>
                <c:pt idx="3">
                  <c:v>Durban</c:v>
                </c:pt>
                <c:pt idx="4">
                  <c:v>Jhb - East</c:v>
                </c:pt>
                <c:pt idx="5">
                  <c:v>Jhb - Sandton</c:v>
                </c:pt>
                <c:pt idx="6">
                  <c:v>Jhb - South</c:v>
                </c:pt>
                <c:pt idx="7">
                  <c:v>Jhb - West</c:v>
                </c:pt>
                <c:pt idx="8">
                  <c:v>Neslspruit</c:v>
                </c:pt>
                <c:pt idx="9">
                  <c:v>PE/EL</c:v>
                </c:pt>
                <c:pt idx="10">
                  <c:v>Pietermaritzburg</c:v>
                </c:pt>
                <c:pt idx="11">
                  <c:v>Polokwane</c:v>
                </c:pt>
                <c:pt idx="12">
                  <c:v>Potchefstroom</c:v>
                </c:pt>
                <c:pt idx="13">
                  <c:v>Pretoria</c:v>
                </c:pt>
              </c:strCache>
            </c:strRef>
          </c:cat>
          <c:val>
            <c:numRef>
              <c:f>'Whole Country'!$O$735:$O$748</c:f>
              <c:numCache>
                <c:formatCode>General</c:formatCode>
                <c:ptCount val="14"/>
                <c:pt idx="0">
                  <c:v>500</c:v>
                </c:pt>
                <c:pt idx="1">
                  <c:v>500</c:v>
                </c:pt>
                <c:pt idx="2">
                  <c:v>500</c:v>
                </c:pt>
                <c:pt idx="3">
                  <c:v>500</c:v>
                </c:pt>
                <c:pt idx="4">
                  <c:v>495</c:v>
                </c:pt>
                <c:pt idx="5">
                  <c:v>550</c:v>
                </c:pt>
                <c:pt idx="6">
                  <c:v>525</c:v>
                </c:pt>
                <c:pt idx="7">
                  <c:v>550</c:v>
                </c:pt>
                <c:pt idx="8">
                  <c:v>500</c:v>
                </c:pt>
                <c:pt idx="9">
                  <c:v>470</c:v>
                </c:pt>
                <c:pt idx="10">
                  <c:v>400</c:v>
                </c:pt>
                <c:pt idx="11">
                  <c:v>575</c:v>
                </c:pt>
                <c:pt idx="12">
                  <c:v>500</c:v>
                </c:pt>
                <c:pt idx="13">
                  <c:v>638</c:v>
                </c:pt>
              </c:numCache>
            </c:numRef>
          </c:val>
        </c:ser>
        <c:hiLowLines>
          <c:spPr>
            <a:ln w="38100">
              <a:solidFill>
                <a:srgbClr val="FF0000"/>
              </a:solidFill>
            </a:ln>
          </c:spPr>
        </c:hiLowLines>
        <c:upDownBars>
          <c:gapWidth val="150"/>
          <c:upBars>
            <c:spPr>
              <a:gradFill>
                <a:gsLst>
                  <a:gs pos="0">
                    <a:srgbClr val="000082"/>
                  </a:gs>
                  <a:gs pos="0">
                    <a:srgbClr val="000082"/>
                  </a:gs>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0"/>
              </a:gradFill>
              <a:ln>
                <a:solidFill>
                  <a:srgbClr val="002060"/>
                </a:solidFill>
              </a:ln>
            </c:spPr>
          </c:upBars>
          <c:downBars/>
        </c:upDownBars>
        <c:axId val="45002112"/>
        <c:axId val="68909312"/>
      </c:stockChart>
      <c:catAx>
        <c:axId val="45002112"/>
        <c:scaling>
          <c:orientation val="minMax"/>
        </c:scaling>
        <c:axPos val="b"/>
        <c:majorTickMark val="none"/>
        <c:tickLblPos val="nextTo"/>
        <c:crossAx val="68909312"/>
        <c:crosses val="autoZero"/>
        <c:auto val="1"/>
        <c:lblAlgn val="ctr"/>
        <c:lblOffset val="100"/>
      </c:catAx>
      <c:valAx>
        <c:axId val="68909312"/>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45002112"/>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Matters lodged per secretary per month</a:t>
            </a:r>
          </a:p>
        </c:rich>
      </c:tx>
      <c:layout/>
    </c:title>
    <c:plotArea>
      <c:layout/>
      <c:stockChart>
        <c:ser>
          <c:idx val="0"/>
          <c:order val="0"/>
          <c:tx>
            <c:strRef>
              <c:f>'Whole Country'!$R$766</c:f>
              <c:strCache>
                <c:ptCount val="1"/>
                <c:pt idx="0">
                  <c:v>Low</c:v>
                </c:pt>
              </c:strCache>
            </c:strRef>
          </c:tx>
          <c:spPr>
            <a:ln w="47625">
              <a:noFill/>
            </a:ln>
          </c:spPr>
          <c:marker>
            <c:symbol val="none"/>
          </c:marker>
          <c:cat>
            <c:strRef>
              <c:f>'Whole Country'!$Q$767:$Q$780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Country'!$R$767:$R$780</c:f>
              <c:numCache>
                <c:formatCode>General</c:formatCode>
                <c:ptCount val="14"/>
                <c:pt idx="0">
                  <c:v>1</c:v>
                </c:pt>
                <c:pt idx="1">
                  <c:v>1</c:v>
                </c:pt>
                <c:pt idx="2">
                  <c:v>1</c:v>
                </c:pt>
                <c:pt idx="3">
                  <c:v>1</c:v>
                </c:pt>
                <c:pt idx="4">
                  <c:v>3</c:v>
                </c:pt>
                <c:pt idx="5">
                  <c:v>2</c:v>
                </c:pt>
                <c:pt idx="6">
                  <c:v>3</c:v>
                </c:pt>
                <c:pt idx="7">
                  <c:v>1.5</c:v>
                </c:pt>
                <c:pt idx="8">
                  <c:v>2</c:v>
                </c:pt>
                <c:pt idx="9">
                  <c:v>2</c:v>
                </c:pt>
                <c:pt idx="10">
                  <c:v>1.6</c:v>
                </c:pt>
                <c:pt idx="11">
                  <c:v>12</c:v>
                </c:pt>
                <c:pt idx="12">
                  <c:v>1</c:v>
                </c:pt>
                <c:pt idx="13">
                  <c:v>3</c:v>
                </c:pt>
              </c:numCache>
            </c:numRef>
          </c:val>
        </c:ser>
        <c:ser>
          <c:idx val="1"/>
          <c:order val="1"/>
          <c:tx>
            <c:strRef>
              <c:f>'Whole Country'!$S$766</c:f>
              <c:strCache>
                <c:ptCount val="1"/>
                <c:pt idx="0">
                  <c:v>High</c:v>
                </c:pt>
              </c:strCache>
            </c:strRef>
          </c:tx>
          <c:spPr>
            <a:ln w="47625">
              <a:noFill/>
            </a:ln>
          </c:spPr>
          <c:marker>
            <c:symbol val="none"/>
          </c:marker>
          <c:cat>
            <c:strRef>
              <c:f>'Whole Country'!$Q$767:$Q$780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Country'!$S$767:$S$780</c:f>
              <c:numCache>
                <c:formatCode>General</c:formatCode>
                <c:ptCount val="14"/>
                <c:pt idx="0">
                  <c:v>79</c:v>
                </c:pt>
                <c:pt idx="1">
                  <c:v>7.5</c:v>
                </c:pt>
                <c:pt idx="2">
                  <c:v>45</c:v>
                </c:pt>
                <c:pt idx="3">
                  <c:v>79</c:v>
                </c:pt>
                <c:pt idx="4">
                  <c:v>41</c:v>
                </c:pt>
                <c:pt idx="5">
                  <c:v>18</c:v>
                </c:pt>
                <c:pt idx="6">
                  <c:v>14</c:v>
                </c:pt>
                <c:pt idx="7">
                  <c:v>60</c:v>
                </c:pt>
                <c:pt idx="8">
                  <c:v>18</c:v>
                </c:pt>
                <c:pt idx="9">
                  <c:v>25</c:v>
                </c:pt>
                <c:pt idx="10">
                  <c:v>12.5</c:v>
                </c:pt>
                <c:pt idx="11">
                  <c:v>12</c:v>
                </c:pt>
                <c:pt idx="12">
                  <c:v>37.5</c:v>
                </c:pt>
                <c:pt idx="13">
                  <c:v>29</c:v>
                </c:pt>
              </c:numCache>
            </c:numRef>
          </c:val>
        </c:ser>
        <c:ser>
          <c:idx val="2"/>
          <c:order val="2"/>
          <c:tx>
            <c:strRef>
              <c:f>'Whole Country'!$T$766</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Country'!$Q$767:$Q$780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Country'!$T$767:$T$780</c:f>
              <c:numCache>
                <c:formatCode>General</c:formatCode>
                <c:ptCount val="14"/>
                <c:pt idx="0">
                  <c:v>8</c:v>
                </c:pt>
                <c:pt idx="1">
                  <c:v>3.9</c:v>
                </c:pt>
                <c:pt idx="2">
                  <c:v>7.5</c:v>
                </c:pt>
                <c:pt idx="3">
                  <c:v>8.5</c:v>
                </c:pt>
                <c:pt idx="4">
                  <c:v>13</c:v>
                </c:pt>
                <c:pt idx="5">
                  <c:v>7</c:v>
                </c:pt>
                <c:pt idx="6">
                  <c:v>6.8</c:v>
                </c:pt>
                <c:pt idx="7">
                  <c:v>13.4</c:v>
                </c:pt>
                <c:pt idx="8">
                  <c:v>17</c:v>
                </c:pt>
                <c:pt idx="9">
                  <c:v>8</c:v>
                </c:pt>
                <c:pt idx="10">
                  <c:v>7</c:v>
                </c:pt>
                <c:pt idx="11">
                  <c:v>12</c:v>
                </c:pt>
                <c:pt idx="12">
                  <c:v>10.3</c:v>
                </c:pt>
                <c:pt idx="13">
                  <c:v>11</c:v>
                </c:pt>
              </c:numCache>
            </c:numRef>
          </c:val>
        </c:ser>
        <c:hiLowLines>
          <c:spPr>
            <a:ln w="34925">
              <a:solidFill>
                <a:srgbClr val="FF0000"/>
              </a:solidFill>
            </a:ln>
          </c:spPr>
        </c:hiLowLines>
        <c:axId val="119467392"/>
        <c:axId val="119473280"/>
      </c:stockChart>
      <c:catAx>
        <c:axId val="119467392"/>
        <c:scaling>
          <c:orientation val="minMax"/>
        </c:scaling>
        <c:axPos val="b"/>
        <c:majorTickMark val="none"/>
        <c:tickLblPos val="nextTo"/>
        <c:crossAx val="119473280"/>
        <c:crosses val="autoZero"/>
        <c:auto val="1"/>
        <c:lblAlgn val="ctr"/>
        <c:lblOffset val="100"/>
      </c:catAx>
      <c:valAx>
        <c:axId val="119473280"/>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119467392"/>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Active matters per secretary at once</a:t>
            </a:r>
          </a:p>
        </c:rich>
      </c:tx>
      <c:layout/>
    </c:title>
    <c:plotArea>
      <c:layout/>
      <c:stockChart>
        <c:ser>
          <c:idx val="0"/>
          <c:order val="0"/>
          <c:tx>
            <c:strRef>
              <c:f>'Whole Country'!$AM$726</c:f>
              <c:strCache>
                <c:ptCount val="1"/>
                <c:pt idx="0">
                  <c:v>Low</c:v>
                </c:pt>
              </c:strCache>
            </c:strRef>
          </c:tx>
          <c:spPr>
            <a:ln w="47625">
              <a:noFill/>
            </a:ln>
          </c:spPr>
          <c:marker>
            <c:symbol val="none"/>
          </c:marker>
          <c:cat>
            <c:strRef>
              <c:f>'Whole Country'!$AL$727:$AL$740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Country'!$AM$727:$AM$740</c:f>
              <c:numCache>
                <c:formatCode>General</c:formatCode>
                <c:ptCount val="14"/>
                <c:pt idx="0">
                  <c:v>1</c:v>
                </c:pt>
                <c:pt idx="1">
                  <c:v>3</c:v>
                </c:pt>
                <c:pt idx="2">
                  <c:v>2</c:v>
                </c:pt>
                <c:pt idx="3">
                  <c:v>3</c:v>
                </c:pt>
                <c:pt idx="4">
                  <c:v>2</c:v>
                </c:pt>
                <c:pt idx="5">
                  <c:v>4</c:v>
                </c:pt>
                <c:pt idx="6">
                  <c:v>5</c:v>
                </c:pt>
                <c:pt idx="7">
                  <c:v>5</c:v>
                </c:pt>
                <c:pt idx="8">
                  <c:v>8</c:v>
                </c:pt>
                <c:pt idx="9">
                  <c:v>5</c:v>
                </c:pt>
                <c:pt idx="10">
                  <c:v>2</c:v>
                </c:pt>
                <c:pt idx="11">
                  <c:v>20</c:v>
                </c:pt>
                <c:pt idx="12">
                  <c:v>4</c:v>
                </c:pt>
                <c:pt idx="13">
                  <c:v>1</c:v>
                </c:pt>
              </c:numCache>
            </c:numRef>
          </c:val>
        </c:ser>
        <c:ser>
          <c:idx val="1"/>
          <c:order val="1"/>
          <c:tx>
            <c:strRef>
              <c:f>'Whole Country'!$AN$726</c:f>
              <c:strCache>
                <c:ptCount val="1"/>
                <c:pt idx="0">
                  <c:v>High</c:v>
                </c:pt>
              </c:strCache>
            </c:strRef>
          </c:tx>
          <c:spPr>
            <a:ln w="47625">
              <a:noFill/>
            </a:ln>
          </c:spPr>
          <c:marker>
            <c:symbol val="none"/>
          </c:marker>
          <c:cat>
            <c:strRef>
              <c:f>'Whole Country'!$AL$727:$AL$740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Country'!$AN$727:$AN$740</c:f>
              <c:numCache>
                <c:formatCode>General</c:formatCode>
                <c:ptCount val="14"/>
                <c:pt idx="0">
                  <c:v>140</c:v>
                </c:pt>
                <c:pt idx="1">
                  <c:v>50</c:v>
                </c:pt>
                <c:pt idx="2">
                  <c:v>90</c:v>
                </c:pt>
                <c:pt idx="3">
                  <c:v>140</c:v>
                </c:pt>
                <c:pt idx="4">
                  <c:v>95</c:v>
                </c:pt>
                <c:pt idx="5">
                  <c:v>100</c:v>
                </c:pt>
                <c:pt idx="6">
                  <c:v>80</c:v>
                </c:pt>
                <c:pt idx="7">
                  <c:v>60</c:v>
                </c:pt>
                <c:pt idx="8">
                  <c:v>100</c:v>
                </c:pt>
                <c:pt idx="9">
                  <c:v>75</c:v>
                </c:pt>
                <c:pt idx="10">
                  <c:v>50</c:v>
                </c:pt>
                <c:pt idx="11">
                  <c:v>40</c:v>
                </c:pt>
                <c:pt idx="12">
                  <c:v>100</c:v>
                </c:pt>
                <c:pt idx="13">
                  <c:v>100</c:v>
                </c:pt>
              </c:numCache>
            </c:numRef>
          </c:val>
        </c:ser>
        <c:ser>
          <c:idx val="2"/>
          <c:order val="2"/>
          <c:tx>
            <c:strRef>
              <c:f>'Whole Country'!$AO$726</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Country'!$AL$727:$AL$740</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Country'!$AO$727:$AO$740</c:f>
              <c:numCache>
                <c:formatCode>General</c:formatCode>
                <c:ptCount val="14"/>
                <c:pt idx="0" formatCode="0.00">
                  <c:v>30.260188087774296</c:v>
                </c:pt>
                <c:pt idx="1">
                  <c:v>24</c:v>
                </c:pt>
                <c:pt idx="2">
                  <c:v>25.3</c:v>
                </c:pt>
                <c:pt idx="3">
                  <c:v>22.5</c:v>
                </c:pt>
                <c:pt idx="4">
                  <c:v>33.5</c:v>
                </c:pt>
                <c:pt idx="5">
                  <c:v>30</c:v>
                </c:pt>
                <c:pt idx="6">
                  <c:v>32</c:v>
                </c:pt>
                <c:pt idx="7">
                  <c:v>28.4</c:v>
                </c:pt>
                <c:pt idx="8">
                  <c:v>43</c:v>
                </c:pt>
                <c:pt idx="9">
                  <c:v>31</c:v>
                </c:pt>
                <c:pt idx="10">
                  <c:v>20.75</c:v>
                </c:pt>
                <c:pt idx="11">
                  <c:v>30</c:v>
                </c:pt>
                <c:pt idx="12">
                  <c:v>41</c:v>
                </c:pt>
                <c:pt idx="13">
                  <c:v>33</c:v>
                </c:pt>
              </c:numCache>
            </c:numRef>
          </c:val>
        </c:ser>
        <c:hiLowLines>
          <c:spPr>
            <a:ln w="34925">
              <a:solidFill>
                <a:srgbClr val="FF0000"/>
              </a:solidFill>
            </a:ln>
          </c:spPr>
        </c:hiLowLines>
        <c:axId val="119499392"/>
        <c:axId val="119521664"/>
      </c:stockChart>
      <c:catAx>
        <c:axId val="119499392"/>
        <c:scaling>
          <c:orientation val="minMax"/>
        </c:scaling>
        <c:axPos val="b"/>
        <c:majorTickMark val="none"/>
        <c:tickLblPos val="nextTo"/>
        <c:crossAx val="119521664"/>
        <c:crosses val="autoZero"/>
        <c:auto val="1"/>
        <c:lblAlgn val="ctr"/>
        <c:lblOffset val="100"/>
      </c:catAx>
      <c:valAx>
        <c:axId val="119521664"/>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1194993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ZA"/>
  <c:style val="32"/>
  <c:chart>
    <c:title>
      <c:tx>
        <c:rich>
          <a:bodyPr/>
          <a:lstStyle/>
          <a:p>
            <a:pPr>
              <a:defRPr sz="1100"/>
            </a:pPr>
            <a:r>
              <a:rPr lang="en-US" sz="1100"/>
              <a:t>Postage and Petties Recovery - Bonds</a:t>
            </a:r>
          </a:p>
        </c:rich>
      </c:tx>
      <c:layout/>
    </c:title>
    <c:plotArea>
      <c:layout/>
      <c:stockChart>
        <c:ser>
          <c:idx val="0"/>
          <c:order val="0"/>
          <c:tx>
            <c:strRef>
              <c:f>'Whole Country'!$L$750</c:f>
              <c:strCache>
                <c:ptCount val="1"/>
                <c:pt idx="0">
                  <c:v>Median</c:v>
                </c:pt>
              </c:strCache>
            </c:strRef>
          </c:tx>
          <c:spPr>
            <a:ln w="66675">
              <a:noFill/>
            </a:ln>
          </c:spPr>
          <c:marker>
            <c:symbol val="none"/>
          </c:marker>
          <c:cat>
            <c:strRef>
              <c:f>'Whole Country'!$K$751:$K$764</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Country'!$L$751:$L$764</c:f>
              <c:numCache>
                <c:formatCode>General</c:formatCode>
                <c:ptCount val="14"/>
                <c:pt idx="0">
                  <c:v>400</c:v>
                </c:pt>
                <c:pt idx="1">
                  <c:v>350</c:v>
                </c:pt>
                <c:pt idx="2">
                  <c:v>400</c:v>
                </c:pt>
                <c:pt idx="3">
                  <c:v>350</c:v>
                </c:pt>
                <c:pt idx="4">
                  <c:v>450</c:v>
                </c:pt>
                <c:pt idx="5">
                  <c:v>457</c:v>
                </c:pt>
                <c:pt idx="6">
                  <c:v>450</c:v>
                </c:pt>
                <c:pt idx="7">
                  <c:v>450</c:v>
                </c:pt>
                <c:pt idx="8">
                  <c:v>450</c:v>
                </c:pt>
                <c:pt idx="9">
                  <c:v>382</c:v>
                </c:pt>
                <c:pt idx="10">
                  <c:v>325</c:v>
                </c:pt>
                <c:pt idx="11">
                  <c:v>500</c:v>
                </c:pt>
                <c:pt idx="12">
                  <c:v>492</c:v>
                </c:pt>
                <c:pt idx="13">
                  <c:v>500</c:v>
                </c:pt>
              </c:numCache>
            </c:numRef>
          </c:val>
        </c:ser>
        <c:ser>
          <c:idx val="1"/>
          <c:order val="1"/>
          <c:tx>
            <c:strRef>
              <c:f>'Whole Country'!$M$750</c:f>
              <c:strCache>
                <c:ptCount val="1"/>
                <c:pt idx="0">
                  <c:v>High</c:v>
                </c:pt>
              </c:strCache>
            </c:strRef>
          </c:tx>
          <c:spPr>
            <a:ln w="66675">
              <a:noFill/>
            </a:ln>
          </c:spPr>
          <c:marker>
            <c:symbol val="none"/>
          </c:marker>
          <c:cat>
            <c:strRef>
              <c:f>'Whole Country'!$K$751:$K$764</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Country'!$M$751:$M$764</c:f>
              <c:numCache>
                <c:formatCode>General</c:formatCode>
                <c:ptCount val="14"/>
                <c:pt idx="0">
                  <c:v>1000</c:v>
                </c:pt>
                <c:pt idx="1">
                  <c:v>800</c:v>
                </c:pt>
                <c:pt idx="2">
                  <c:v>950</c:v>
                </c:pt>
                <c:pt idx="3">
                  <c:v>650</c:v>
                </c:pt>
                <c:pt idx="4">
                  <c:v>500</c:v>
                </c:pt>
                <c:pt idx="5">
                  <c:v>750</c:v>
                </c:pt>
                <c:pt idx="6">
                  <c:v>750</c:v>
                </c:pt>
                <c:pt idx="7">
                  <c:v>750</c:v>
                </c:pt>
                <c:pt idx="8">
                  <c:v>850</c:v>
                </c:pt>
                <c:pt idx="9">
                  <c:v>570</c:v>
                </c:pt>
                <c:pt idx="10">
                  <c:v>500</c:v>
                </c:pt>
                <c:pt idx="11">
                  <c:v>650</c:v>
                </c:pt>
                <c:pt idx="12">
                  <c:v>550</c:v>
                </c:pt>
                <c:pt idx="13">
                  <c:v>1000</c:v>
                </c:pt>
              </c:numCache>
            </c:numRef>
          </c:val>
        </c:ser>
        <c:ser>
          <c:idx val="2"/>
          <c:order val="2"/>
          <c:tx>
            <c:strRef>
              <c:f>'Whole Country'!$N$750</c:f>
              <c:strCache>
                <c:ptCount val="1"/>
                <c:pt idx="0">
                  <c:v>Lower 1/4</c:v>
                </c:pt>
              </c:strCache>
            </c:strRef>
          </c:tx>
          <c:spPr>
            <a:ln w="66675">
              <a:noFill/>
            </a:ln>
          </c:spPr>
          <c:marker>
            <c:symbol val="none"/>
          </c:marker>
          <c:cat>
            <c:strRef>
              <c:f>'Whole Country'!$K$751:$K$764</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Country'!$N$751:$N$764</c:f>
              <c:numCache>
                <c:formatCode>General</c:formatCode>
                <c:ptCount val="14"/>
                <c:pt idx="0">
                  <c:v>350</c:v>
                </c:pt>
                <c:pt idx="1">
                  <c:v>300</c:v>
                </c:pt>
                <c:pt idx="2">
                  <c:v>350</c:v>
                </c:pt>
                <c:pt idx="3">
                  <c:v>292</c:v>
                </c:pt>
                <c:pt idx="4">
                  <c:v>353</c:v>
                </c:pt>
                <c:pt idx="5">
                  <c:v>381</c:v>
                </c:pt>
                <c:pt idx="6">
                  <c:v>400</c:v>
                </c:pt>
                <c:pt idx="7">
                  <c:v>350</c:v>
                </c:pt>
                <c:pt idx="8">
                  <c:v>350</c:v>
                </c:pt>
                <c:pt idx="9">
                  <c:v>288</c:v>
                </c:pt>
                <c:pt idx="10">
                  <c:v>281</c:v>
                </c:pt>
                <c:pt idx="11">
                  <c:v>387</c:v>
                </c:pt>
                <c:pt idx="12">
                  <c:v>362</c:v>
                </c:pt>
                <c:pt idx="13">
                  <c:v>350</c:v>
                </c:pt>
              </c:numCache>
            </c:numRef>
          </c:val>
        </c:ser>
        <c:ser>
          <c:idx val="3"/>
          <c:order val="3"/>
          <c:tx>
            <c:strRef>
              <c:f>'Whole Country'!$O$750</c:f>
              <c:strCache>
                <c:ptCount val="1"/>
                <c:pt idx="0">
                  <c:v>Three quarter</c:v>
                </c:pt>
              </c:strCache>
            </c:strRef>
          </c:tx>
          <c:spPr>
            <a:ln w="66675">
              <a:noFill/>
            </a:ln>
          </c:spPr>
          <c:marker>
            <c:symbol val="none"/>
          </c:marker>
          <c:cat>
            <c:strRef>
              <c:f>'Whole Country'!$K$751:$K$764</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Country'!$O$751:$O$764</c:f>
              <c:numCache>
                <c:formatCode>General</c:formatCode>
                <c:ptCount val="14"/>
                <c:pt idx="0">
                  <c:v>500</c:v>
                </c:pt>
                <c:pt idx="1">
                  <c:v>500</c:v>
                </c:pt>
                <c:pt idx="2">
                  <c:v>450</c:v>
                </c:pt>
                <c:pt idx="3">
                  <c:v>460</c:v>
                </c:pt>
                <c:pt idx="4">
                  <c:v>487</c:v>
                </c:pt>
                <c:pt idx="5">
                  <c:v>500</c:v>
                </c:pt>
                <c:pt idx="6">
                  <c:v>500</c:v>
                </c:pt>
                <c:pt idx="7">
                  <c:v>585</c:v>
                </c:pt>
                <c:pt idx="8">
                  <c:v>500</c:v>
                </c:pt>
                <c:pt idx="9">
                  <c:v>450</c:v>
                </c:pt>
                <c:pt idx="10">
                  <c:v>371</c:v>
                </c:pt>
                <c:pt idx="11">
                  <c:v>575</c:v>
                </c:pt>
                <c:pt idx="12">
                  <c:v>500</c:v>
                </c:pt>
                <c:pt idx="13">
                  <c:v>600</c:v>
                </c:pt>
              </c:numCache>
            </c:numRef>
          </c:val>
        </c:ser>
        <c:hiLowLines>
          <c:spPr>
            <a:ln w="38100">
              <a:solidFill>
                <a:srgbClr val="FF0000"/>
              </a:solidFill>
            </a:ln>
          </c:spPr>
        </c:hiLowLines>
        <c:upDownBars>
          <c:gapWidth val="150"/>
          <c:upBars>
            <c:spPr>
              <a:gradFill>
                <a:gsLst>
                  <a:gs pos="0">
                    <a:srgbClr val="000082"/>
                  </a:gs>
                  <a:gs pos="0">
                    <a:srgbClr val="000082"/>
                  </a:gs>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0"/>
              </a:gradFill>
              <a:ln>
                <a:solidFill>
                  <a:srgbClr val="002060"/>
                </a:solidFill>
              </a:ln>
            </c:spPr>
          </c:upBars>
          <c:downBars/>
        </c:upDownBars>
        <c:axId val="118728192"/>
        <c:axId val="119644160"/>
      </c:stockChart>
      <c:catAx>
        <c:axId val="118728192"/>
        <c:scaling>
          <c:orientation val="minMax"/>
        </c:scaling>
        <c:axPos val="b"/>
        <c:majorTickMark val="none"/>
        <c:tickLblPos val="nextTo"/>
        <c:crossAx val="119644160"/>
        <c:crosses val="autoZero"/>
        <c:auto val="1"/>
        <c:lblAlgn val="ctr"/>
        <c:lblOffset val="100"/>
      </c:catAx>
      <c:valAx>
        <c:axId val="119644160"/>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11872819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ZA"/>
  <c:style val="32"/>
  <c:chart>
    <c:title>
      <c:tx>
        <c:rich>
          <a:bodyPr/>
          <a:lstStyle/>
          <a:p>
            <a:pPr>
              <a:defRPr sz="1100"/>
            </a:pPr>
            <a:r>
              <a:rPr lang="en-US" sz="1100"/>
              <a:t>Postage and Petties Recovery - Cancellations</a:t>
            </a:r>
          </a:p>
        </c:rich>
      </c:tx>
      <c:layout/>
    </c:title>
    <c:plotArea>
      <c:layout/>
      <c:stockChart>
        <c:ser>
          <c:idx val="0"/>
          <c:order val="0"/>
          <c:tx>
            <c:strRef>
              <c:f>'Whole Country'!$L$766</c:f>
              <c:strCache>
                <c:ptCount val="1"/>
                <c:pt idx="0">
                  <c:v>Median</c:v>
                </c:pt>
              </c:strCache>
            </c:strRef>
          </c:tx>
          <c:spPr>
            <a:ln w="66675">
              <a:noFill/>
            </a:ln>
          </c:spPr>
          <c:marker>
            <c:symbol val="none"/>
          </c:marker>
          <c:cat>
            <c:strRef>
              <c:f>'Whole Country'!$K$767:$K$780</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Country'!$L$767:$L$780</c:f>
              <c:numCache>
                <c:formatCode>General</c:formatCode>
                <c:ptCount val="14"/>
                <c:pt idx="0">
                  <c:v>200</c:v>
                </c:pt>
                <c:pt idx="1">
                  <c:v>180</c:v>
                </c:pt>
                <c:pt idx="2">
                  <c:v>400</c:v>
                </c:pt>
                <c:pt idx="3">
                  <c:v>200</c:v>
                </c:pt>
                <c:pt idx="4">
                  <c:v>200</c:v>
                </c:pt>
                <c:pt idx="5">
                  <c:v>200</c:v>
                </c:pt>
                <c:pt idx="6">
                  <c:v>267</c:v>
                </c:pt>
                <c:pt idx="7">
                  <c:v>200</c:v>
                </c:pt>
                <c:pt idx="8">
                  <c:v>220</c:v>
                </c:pt>
                <c:pt idx="9">
                  <c:v>200</c:v>
                </c:pt>
                <c:pt idx="10">
                  <c:v>125</c:v>
                </c:pt>
                <c:pt idx="11">
                  <c:v>325</c:v>
                </c:pt>
                <c:pt idx="12">
                  <c:v>200</c:v>
                </c:pt>
                <c:pt idx="13">
                  <c:v>250</c:v>
                </c:pt>
              </c:numCache>
            </c:numRef>
          </c:val>
        </c:ser>
        <c:ser>
          <c:idx val="1"/>
          <c:order val="1"/>
          <c:tx>
            <c:strRef>
              <c:f>'Whole Country'!$M$766</c:f>
              <c:strCache>
                <c:ptCount val="1"/>
                <c:pt idx="0">
                  <c:v>High</c:v>
                </c:pt>
              </c:strCache>
            </c:strRef>
          </c:tx>
          <c:spPr>
            <a:ln w="66675">
              <a:noFill/>
            </a:ln>
          </c:spPr>
          <c:marker>
            <c:symbol val="none"/>
          </c:marker>
          <c:cat>
            <c:strRef>
              <c:f>'Whole Country'!$K$767:$K$780</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Country'!$M$767:$M$780</c:f>
              <c:numCache>
                <c:formatCode>General</c:formatCode>
                <c:ptCount val="14"/>
                <c:pt idx="0">
                  <c:v>925</c:v>
                </c:pt>
                <c:pt idx="1">
                  <c:v>800</c:v>
                </c:pt>
                <c:pt idx="2">
                  <c:v>950</c:v>
                </c:pt>
                <c:pt idx="3">
                  <c:v>500</c:v>
                </c:pt>
                <c:pt idx="4">
                  <c:v>450</c:v>
                </c:pt>
                <c:pt idx="5">
                  <c:v>925</c:v>
                </c:pt>
                <c:pt idx="6">
                  <c:v>750</c:v>
                </c:pt>
                <c:pt idx="7">
                  <c:v>750</c:v>
                </c:pt>
                <c:pt idx="8">
                  <c:v>350</c:v>
                </c:pt>
                <c:pt idx="9">
                  <c:v>500</c:v>
                </c:pt>
                <c:pt idx="10">
                  <c:v>350</c:v>
                </c:pt>
                <c:pt idx="11">
                  <c:v>650</c:v>
                </c:pt>
                <c:pt idx="12">
                  <c:v>350</c:v>
                </c:pt>
                <c:pt idx="13">
                  <c:v>550</c:v>
                </c:pt>
              </c:numCache>
            </c:numRef>
          </c:val>
        </c:ser>
        <c:ser>
          <c:idx val="2"/>
          <c:order val="2"/>
          <c:tx>
            <c:strRef>
              <c:f>'Whole Country'!$N$766</c:f>
              <c:strCache>
                <c:ptCount val="1"/>
                <c:pt idx="0">
                  <c:v>Lower 1/4</c:v>
                </c:pt>
              </c:strCache>
            </c:strRef>
          </c:tx>
          <c:spPr>
            <a:ln w="66675">
              <a:noFill/>
            </a:ln>
          </c:spPr>
          <c:marker>
            <c:symbol val="none"/>
          </c:marker>
          <c:cat>
            <c:strRef>
              <c:f>'Whole Country'!$K$767:$K$780</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Country'!$N$767:$N$780</c:f>
              <c:numCache>
                <c:formatCode>General</c:formatCode>
                <c:ptCount val="14"/>
                <c:pt idx="0">
                  <c:v>125</c:v>
                </c:pt>
                <c:pt idx="1">
                  <c:v>150</c:v>
                </c:pt>
                <c:pt idx="2">
                  <c:v>350</c:v>
                </c:pt>
                <c:pt idx="3">
                  <c:v>150</c:v>
                </c:pt>
                <c:pt idx="4">
                  <c:v>110</c:v>
                </c:pt>
                <c:pt idx="5">
                  <c:v>120</c:v>
                </c:pt>
                <c:pt idx="6">
                  <c:v>142</c:v>
                </c:pt>
                <c:pt idx="7">
                  <c:v>125</c:v>
                </c:pt>
                <c:pt idx="8">
                  <c:v>150</c:v>
                </c:pt>
                <c:pt idx="9">
                  <c:v>146</c:v>
                </c:pt>
                <c:pt idx="10">
                  <c:v>100</c:v>
                </c:pt>
                <c:pt idx="11">
                  <c:v>300</c:v>
                </c:pt>
                <c:pt idx="12">
                  <c:v>150</c:v>
                </c:pt>
                <c:pt idx="13">
                  <c:v>123</c:v>
                </c:pt>
              </c:numCache>
            </c:numRef>
          </c:val>
        </c:ser>
        <c:ser>
          <c:idx val="3"/>
          <c:order val="3"/>
          <c:tx>
            <c:strRef>
              <c:f>'Whole Country'!$O$766</c:f>
              <c:strCache>
                <c:ptCount val="1"/>
                <c:pt idx="0">
                  <c:v>Three quarter</c:v>
                </c:pt>
              </c:strCache>
            </c:strRef>
          </c:tx>
          <c:spPr>
            <a:ln w="66675">
              <a:noFill/>
            </a:ln>
          </c:spPr>
          <c:marker>
            <c:symbol val="none"/>
          </c:marker>
          <c:cat>
            <c:strRef>
              <c:f>'Whole Country'!$K$767:$K$780</c:f>
              <c:strCache>
                <c:ptCount val="14"/>
                <c:pt idx="0">
                  <c:v>National Average</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Country'!$O$767:$O$780</c:f>
              <c:numCache>
                <c:formatCode>General</c:formatCode>
                <c:ptCount val="14"/>
                <c:pt idx="0">
                  <c:v>285</c:v>
                </c:pt>
                <c:pt idx="1">
                  <c:v>350</c:v>
                </c:pt>
                <c:pt idx="2">
                  <c:v>450</c:v>
                </c:pt>
                <c:pt idx="3">
                  <c:v>250</c:v>
                </c:pt>
                <c:pt idx="4">
                  <c:v>300</c:v>
                </c:pt>
                <c:pt idx="5">
                  <c:v>300</c:v>
                </c:pt>
                <c:pt idx="6">
                  <c:v>350</c:v>
                </c:pt>
                <c:pt idx="7">
                  <c:v>250</c:v>
                </c:pt>
                <c:pt idx="8">
                  <c:v>350</c:v>
                </c:pt>
                <c:pt idx="9">
                  <c:v>257</c:v>
                </c:pt>
                <c:pt idx="10">
                  <c:v>207</c:v>
                </c:pt>
                <c:pt idx="11">
                  <c:v>350</c:v>
                </c:pt>
                <c:pt idx="12">
                  <c:v>250</c:v>
                </c:pt>
                <c:pt idx="13">
                  <c:v>300</c:v>
                </c:pt>
              </c:numCache>
            </c:numRef>
          </c:val>
        </c:ser>
        <c:hiLowLines>
          <c:spPr>
            <a:ln w="38100">
              <a:solidFill>
                <a:srgbClr val="FF0000"/>
              </a:solidFill>
            </a:ln>
          </c:spPr>
        </c:hiLowLines>
        <c:upDownBars>
          <c:gapWidth val="150"/>
          <c:upBars>
            <c:spPr>
              <a:gradFill>
                <a:gsLst>
                  <a:gs pos="0">
                    <a:srgbClr val="000082"/>
                  </a:gs>
                  <a:gs pos="0">
                    <a:srgbClr val="000082"/>
                  </a:gs>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0"/>
              </a:gradFill>
              <a:ln>
                <a:solidFill>
                  <a:srgbClr val="002060"/>
                </a:solidFill>
              </a:ln>
            </c:spPr>
          </c:upBars>
          <c:downBars/>
        </c:upDownBars>
        <c:axId val="79486336"/>
        <c:axId val="79545856"/>
      </c:stockChart>
      <c:catAx>
        <c:axId val="79486336"/>
        <c:scaling>
          <c:orientation val="minMax"/>
        </c:scaling>
        <c:axPos val="b"/>
        <c:majorTickMark val="none"/>
        <c:tickLblPos val="nextTo"/>
        <c:crossAx val="79545856"/>
        <c:crosses val="autoZero"/>
        <c:auto val="1"/>
        <c:lblAlgn val="ctr"/>
        <c:lblOffset val="100"/>
      </c:catAx>
      <c:valAx>
        <c:axId val="79545856"/>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7948633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ZA"/>
  <c:style val="32"/>
  <c:chart>
    <c:title>
      <c:tx>
        <c:rich>
          <a:bodyPr/>
          <a:lstStyle/>
          <a:p>
            <a:pPr>
              <a:defRPr sz="1100"/>
            </a:pPr>
            <a:r>
              <a:rPr lang="en-US" sz="1100"/>
              <a:t>Deeds Office Search Recovery</a:t>
            </a:r>
          </a:p>
        </c:rich>
      </c:tx>
      <c:layout/>
    </c:title>
    <c:plotArea>
      <c:layout/>
      <c:stockChart>
        <c:ser>
          <c:idx val="0"/>
          <c:order val="0"/>
          <c:tx>
            <c:strRef>
              <c:f>'Whole Country'!$R$729</c:f>
              <c:strCache>
                <c:ptCount val="1"/>
                <c:pt idx="0">
                  <c:v>Average</c:v>
                </c:pt>
              </c:strCache>
            </c:strRef>
          </c:tx>
          <c:spPr>
            <a:ln w="66675">
              <a:noFill/>
            </a:ln>
          </c:spPr>
          <c:marker>
            <c:symbol val="none"/>
          </c:marker>
          <c:cat>
            <c:strRef>
              <c:f>'Whole Country'!$Q$730:$Q$743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Country'!$R$730:$R$743</c:f>
              <c:numCache>
                <c:formatCode>General</c:formatCode>
                <c:ptCount val="14"/>
                <c:pt idx="0">
                  <c:v>95</c:v>
                </c:pt>
                <c:pt idx="1">
                  <c:v>64</c:v>
                </c:pt>
                <c:pt idx="2">
                  <c:v>75</c:v>
                </c:pt>
                <c:pt idx="3">
                  <c:v>120</c:v>
                </c:pt>
                <c:pt idx="4">
                  <c:v>92</c:v>
                </c:pt>
                <c:pt idx="5">
                  <c:v>100</c:v>
                </c:pt>
                <c:pt idx="6">
                  <c:v>100</c:v>
                </c:pt>
                <c:pt idx="7">
                  <c:v>102</c:v>
                </c:pt>
                <c:pt idx="8">
                  <c:v>67</c:v>
                </c:pt>
                <c:pt idx="9">
                  <c:v>57</c:v>
                </c:pt>
                <c:pt idx="10">
                  <c:v>100</c:v>
                </c:pt>
                <c:pt idx="11">
                  <c:v>69</c:v>
                </c:pt>
                <c:pt idx="12">
                  <c:v>100</c:v>
                </c:pt>
                <c:pt idx="13">
                  <c:v>100</c:v>
                </c:pt>
              </c:numCache>
            </c:numRef>
          </c:val>
        </c:ser>
        <c:ser>
          <c:idx val="1"/>
          <c:order val="1"/>
          <c:tx>
            <c:strRef>
              <c:f>'Whole Country'!$S$729</c:f>
              <c:strCache>
                <c:ptCount val="1"/>
                <c:pt idx="0">
                  <c:v>High</c:v>
                </c:pt>
              </c:strCache>
            </c:strRef>
          </c:tx>
          <c:spPr>
            <a:ln w="66675">
              <a:noFill/>
            </a:ln>
          </c:spPr>
          <c:marker>
            <c:symbol val="none"/>
          </c:marker>
          <c:cat>
            <c:strRef>
              <c:f>'Whole Country'!$Q$730:$Q$743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Country'!$S$730:$S$743</c:f>
              <c:numCache>
                <c:formatCode>General</c:formatCode>
                <c:ptCount val="14"/>
                <c:pt idx="0">
                  <c:v>700</c:v>
                </c:pt>
                <c:pt idx="1">
                  <c:v>400</c:v>
                </c:pt>
                <c:pt idx="2">
                  <c:v>256</c:v>
                </c:pt>
                <c:pt idx="3">
                  <c:v>600</c:v>
                </c:pt>
                <c:pt idx="4">
                  <c:v>250</c:v>
                </c:pt>
                <c:pt idx="5">
                  <c:v>700</c:v>
                </c:pt>
                <c:pt idx="6">
                  <c:v>200</c:v>
                </c:pt>
                <c:pt idx="7">
                  <c:v>500</c:v>
                </c:pt>
                <c:pt idx="8">
                  <c:v>171</c:v>
                </c:pt>
                <c:pt idx="9">
                  <c:v>300</c:v>
                </c:pt>
                <c:pt idx="10">
                  <c:v>300</c:v>
                </c:pt>
                <c:pt idx="11">
                  <c:v>100</c:v>
                </c:pt>
                <c:pt idx="12">
                  <c:v>150</c:v>
                </c:pt>
                <c:pt idx="13">
                  <c:v>300</c:v>
                </c:pt>
              </c:numCache>
            </c:numRef>
          </c:val>
        </c:ser>
        <c:ser>
          <c:idx val="2"/>
          <c:order val="2"/>
          <c:tx>
            <c:strRef>
              <c:f>'Whole Country'!$T$729</c:f>
              <c:strCache>
                <c:ptCount val="1"/>
                <c:pt idx="0">
                  <c:v>Lower1/4</c:v>
                </c:pt>
              </c:strCache>
            </c:strRef>
          </c:tx>
          <c:spPr>
            <a:ln w="66675">
              <a:noFill/>
            </a:ln>
          </c:spPr>
          <c:marker>
            <c:symbol val="none"/>
          </c:marker>
          <c:cat>
            <c:strRef>
              <c:f>'Whole Country'!$Q$730:$Q$743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Country'!$T$730:$T$743</c:f>
              <c:numCache>
                <c:formatCode>General</c:formatCode>
                <c:ptCount val="14"/>
                <c:pt idx="0">
                  <c:v>60</c:v>
                </c:pt>
                <c:pt idx="1">
                  <c:v>36</c:v>
                </c:pt>
                <c:pt idx="2">
                  <c:v>50</c:v>
                </c:pt>
                <c:pt idx="3">
                  <c:v>80</c:v>
                </c:pt>
                <c:pt idx="4">
                  <c:v>165</c:v>
                </c:pt>
                <c:pt idx="5">
                  <c:v>80</c:v>
                </c:pt>
                <c:pt idx="6">
                  <c:v>69</c:v>
                </c:pt>
                <c:pt idx="7">
                  <c:v>81</c:v>
                </c:pt>
                <c:pt idx="8">
                  <c:v>52</c:v>
                </c:pt>
                <c:pt idx="9">
                  <c:v>57</c:v>
                </c:pt>
                <c:pt idx="10">
                  <c:v>78</c:v>
                </c:pt>
                <c:pt idx="11">
                  <c:v>61</c:v>
                </c:pt>
                <c:pt idx="12">
                  <c:v>71</c:v>
                </c:pt>
                <c:pt idx="13">
                  <c:v>73</c:v>
                </c:pt>
              </c:numCache>
            </c:numRef>
          </c:val>
        </c:ser>
        <c:ser>
          <c:idx val="3"/>
          <c:order val="3"/>
          <c:tx>
            <c:strRef>
              <c:f>'Whole Country'!$U$729</c:f>
              <c:strCache>
                <c:ptCount val="1"/>
                <c:pt idx="0">
                  <c:v>Three quarter</c:v>
                </c:pt>
              </c:strCache>
            </c:strRef>
          </c:tx>
          <c:spPr>
            <a:ln w="66675">
              <a:noFill/>
            </a:ln>
          </c:spPr>
          <c:marker>
            <c:symbol val="none"/>
          </c:marker>
          <c:cat>
            <c:strRef>
              <c:f>'Whole Country'!$Q$730:$Q$743</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Country'!$U$730:$U$743</c:f>
              <c:numCache>
                <c:formatCode>General</c:formatCode>
                <c:ptCount val="14"/>
                <c:pt idx="0">
                  <c:v>120</c:v>
                </c:pt>
                <c:pt idx="1">
                  <c:v>94</c:v>
                </c:pt>
                <c:pt idx="2">
                  <c:v>100</c:v>
                </c:pt>
                <c:pt idx="3">
                  <c:v>170</c:v>
                </c:pt>
                <c:pt idx="4">
                  <c:v>114</c:v>
                </c:pt>
                <c:pt idx="5">
                  <c:v>150</c:v>
                </c:pt>
                <c:pt idx="6">
                  <c:v>132</c:v>
                </c:pt>
                <c:pt idx="7">
                  <c:v>150</c:v>
                </c:pt>
                <c:pt idx="8">
                  <c:v>100</c:v>
                </c:pt>
                <c:pt idx="9">
                  <c:v>100</c:v>
                </c:pt>
                <c:pt idx="10">
                  <c:v>150</c:v>
                </c:pt>
                <c:pt idx="11">
                  <c:v>82</c:v>
                </c:pt>
                <c:pt idx="12">
                  <c:v>131</c:v>
                </c:pt>
                <c:pt idx="13">
                  <c:v>125</c:v>
                </c:pt>
              </c:numCache>
            </c:numRef>
          </c:val>
        </c:ser>
        <c:hiLowLines>
          <c:spPr>
            <a:ln w="38100">
              <a:solidFill>
                <a:srgbClr val="FF0000"/>
              </a:solidFill>
            </a:ln>
          </c:spPr>
        </c:hiLowLines>
        <c:upDownBars>
          <c:gapWidth val="150"/>
          <c:upBars>
            <c:spPr>
              <a:gradFill>
                <a:gsLst>
                  <a:gs pos="0">
                    <a:srgbClr val="000082"/>
                  </a:gs>
                  <a:gs pos="0">
                    <a:srgbClr val="000082"/>
                  </a:gs>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0"/>
              </a:gradFill>
              <a:ln>
                <a:solidFill>
                  <a:srgbClr val="002060"/>
                </a:solidFill>
              </a:ln>
            </c:spPr>
          </c:upBars>
          <c:downBars/>
        </c:upDownBars>
        <c:axId val="67527424"/>
        <c:axId val="67529344"/>
      </c:stockChart>
      <c:catAx>
        <c:axId val="67527424"/>
        <c:scaling>
          <c:orientation val="minMax"/>
        </c:scaling>
        <c:axPos val="b"/>
        <c:majorTickMark val="none"/>
        <c:tickLblPos val="nextTo"/>
        <c:crossAx val="67529344"/>
        <c:crosses val="autoZero"/>
        <c:auto val="1"/>
        <c:lblAlgn val="ctr"/>
        <c:lblOffset val="100"/>
      </c:catAx>
      <c:valAx>
        <c:axId val="67529344"/>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752742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ZA"/>
  <c:style val="26"/>
  <c:chart>
    <c:title>
      <c:tx>
        <c:rich>
          <a:bodyPr/>
          <a:lstStyle/>
          <a:p>
            <a:pPr>
              <a:defRPr sz="1100"/>
            </a:pPr>
            <a:r>
              <a:rPr lang="en-ZA" sz="1100"/>
              <a:t>Rates clearance certificate costs</a:t>
            </a:r>
          </a:p>
        </c:rich>
      </c:tx>
      <c:layout/>
      <c:overlay val="1"/>
    </c:title>
    <c:plotArea>
      <c:layout>
        <c:manualLayout>
          <c:layoutTarget val="inner"/>
          <c:xMode val="edge"/>
          <c:yMode val="edge"/>
          <c:x val="0.13504763959299729"/>
          <c:y val="0.17075007290755317"/>
          <c:w val="0.73024916405997264"/>
          <c:h val="0.70895042286381194"/>
        </c:manualLayout>
      </c:layout>
      <c:barChart>
        <c:barDir val="col"/>
        <c:grouping val="clustered"/>
        <c:ser>
          <c:idx val="0"/>
          <c:order val="0"/>
          <c:cat>
            <c:strRef>
              <c:f>'Whole Country'!$O$705:$O$709</c:f>
              <c:strCache>
                <c:ptCount val="5"/>
                <c:pt idx="0">
                  <c:v>Low</c:v>
                </c:pt>
                <c:pt idx="1">
                  <c:v>Median</c:v>
                </c:pt>
                <c:pt idx="2">
                  <c:v>Average</c:v>
                </c:pt>
                <c:pt idx="3">
                  <c:v>Three quarter</c:v>
                </c:pt>
                <c:pt idx="4">
                  <c:v>High</c:v>
                </c:pt>
              </c:strCache>
            </c:strRef>
          </c:cat>
          <c:val>
            <c:numRef>
              <c:f>'Whole Country'!$P$705:$P$709</c:f>
              <c:numCache>
                <c:formatCode>"R"\ #,##0.00</c:formatCode>
                <c:ptCount val="5"/>
                <c:pt idx="0">
                  <c:v>4</c:v>
                </c:pt>
                <c:pt idx="1">
                  <c:v>172</c:v>
                </c:pt>
                <c:pt idx="2">
                  <c:v>246.88090737240077</c:v>
                </c:pt>
                <c:pt idx="3" formatCode="General">
                  <c:v>300</c:v>
                </c:pt>
                <c:pt idx="4" formatCode="General">
                  <c:v>1000</c:v>
                </c:pt>
              </c:numCache>
            </c:numRef>
          </c:val>
        </c:ser>
        <c:axId val="103975936"/>
        <c:axId val="104003072"/>
      </c:barChart>
      <c:catAx>
        <c:axId val="103975936"/>
        <c:scaling>
          <c:orientation val="minMax"/>
        </c:scaling>
        <c:axPos val="b"/>
        <c:tickLblPos val="nextTo"/>
        <c:crossAx val="104003072"/>
        <c:crosses val="autoZero"/>
        <c:auto val="1"/>
        <c:lblAlgn val="ctr"/>
        <c:lblOffset val="100"/>
      </c:catAx>
      <c:valAx>
        <c:axId val="104003072"/>
        <c:scaling>
          <c:orientation val="minMax"/>
        </c:scaling>
        <c:axPos val="l"/>
        <c:majorGridlines/>
        <c:title>
          <c:tx>
            <c:rich>
              <a:bodyPr rot="-5400000" vert="horz"/>
              <a:lstStyle/>
              <a:p>
                <a:pPr>
                  <a:defRPr/>
                </a:pPr>
                <a:r>
                  <a:rPr lang="en-US"/>
                  <a:t>Amount R</a:t>
                </a:r>
              </a:p>
            </c:rich>
          </c:tx>
          <c:layout/>
        </c:title>
        <c:numFmt formatCode="#,##0.00" sourceLinked="0"/>
        <c:tickLblPos val="nextTo"/>
        <c:crossAx val="10397593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Recovery - Standard Bank</a:t>
            </a:r>
          </a:p>
        </c:rich>
      </c:tx>
      <c:layout/>
    </c:title>
    <c:plotArea>
      <c:layout/>
      <c:stockChart>
        <c:ser>
          <c:idx val="0"/>
          <c:order val="0"/>
          <c:tx>
            <c:strRef>
              <c:f>'Whole Country'!$R$784</c:f>
              <c:strCache>
                <c:ptCount val="1"/>
                <c:pt idx="0">
                  <c:v>Low</c:v>
                </c:pt>
              </c:strCache>
            </c:strRef>
          </c:tx>
          <c:spPr>
            <a:ln w="47625">
              <a:noFill/>
            </a:ln>
          </c:spPr>
          <c:marker>
            <c:symbol val="none"/>
          </c:marker>
          <c:cat>
            <c:strRef>
              <c:f>'Whole Country'!$Q$785:$Q$798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Country'!$R$785:$R$798</c:f>
              <c:numCache>
                <c:formatCode>General</c:formatCode>
                <c:ptCount val="14"/>
                <c:pt idx="0">
                  <c:v>6</c:v>
                </c:pt>
                <c:pt idx="1">
                  <c:v>95</c:v>
                </c:pt>
                <c:pt idx="2">
                  <c:v>65</c:v>
                </c:pt>
                <c:pt idx="3">
                  <c:v>150</c:v>
                </c:pt>
                <c:pt idx="4">
                  <c:v>100</c:v>
                </c:pt>
                <c:pt idx="5">
                  <c:v>10</c:v>
                </c:pt>
                <c:pt idx="6">
                  <c:v>100</c:v>
                </c:pt>
                <c:pt idx="7">
                  <c:v>50</c:v>
                </c:pt>
                <c:pt idx="8">
                  <c:v>80</c:v>
                </c:pt>
                <c:pt idx="9">
                  <c:v>89</c:v>
                </c:pt>
                <c:pt idx="10">
                  <c:v>82</c:v>
                </c:pt>
                <c:pt idx="11">
                  <c:v>97</c:v>
                </c:pt>
                <c:pt idx="12">
                  <c:v>107</c:v>
                </c:pt>
                <c:pt idx="13">
                  <c:v>30</c:v>
                </c:pt>
              </c:numCache>
            </c:numRef>
          </c:val>
        </c:ser>
        <c:ser>
          <c:idx val="1"/>
          <c:order val="1"/>
          <c:tx>
            <c:strRef>
              <c:f>'Whole Country'!$S$784</c:f>
              <c:strCache>
                <c:ptCount val="1"/>
                <c:pt idx="0">
                  <c:v>High</c:v>
                </c:pt>
              </c:strCache>
            </c:strRef>
          </c:tx>
          <c:spPr>
            <a:ln w="47625">
              <a:noFill/>
            </a:ln>
          </c:spPr>
          <c:marker>
            <c:symbol val="none"/>
          </c:marker>
          <c:cat>
            <c:strRef>
              <c:f>'Whole Country'!$Q$785:$Q$798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Country'!$S$785:$S$798</c:f>
              <c:numCache>
                <c:formatCode>General</c:formatCode>
                <c:ptCount val="14"/>
                <c:pt idx="0">
                  <c:v>550</c:v>
                </c:pt>
                <c:pt idx="1">
                  <c:v>280</c:v>
                </c:pt>
                <c:pt idx="2">
                  <c:v>468</c:v>
                </c:pt>
                <c:pt idx="3">
                  <c:v>500</c:v>
                </c:pt>
                <c:pt idx="4">
                  <c:v>450</c:v>
                </c:pt>
                <c:pt idx="5">
                  <c:v>285</c:v>
                </c:pt>
                <c:pt idx="6">
                  <c:v>200</c:v>
                </c:pt>
                <c:pt idx="7">
                  <c:v>250</c:v>
                </c:pt>
                <c:pt idx="8">
                  <c:v>299</c:v>
                </c:pt>
                <c:pt idx="9">
                  <c:v>250</c:v>
                </c:pt>
                <c:pt idx="10">
                  <c:v>228</c:v>
                </c:pt>
                <c:pt idx="11">
                  <c:v>450</c:v>
                </c:pt>
                <c:pt idx="12">
                  <c:v>245</c:v>
                </c:pt>
                <c:pt idx="13">
                  <c:v>550</c:v>
                </c:pt>
              </c:numCache>
            </c:numRef>
          </c:val>
        </c:ser>
        <c:ser>
          <c:idx val="2"/>
          <c:order val="2"/>
          <c:tx>
            <c:strRef>
              <c:f>'Whole Country'!$T$784</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8"/>
            <c:spPr>
              <a:solidFill>
                <a:srgbClr val="002060"/>
              </a:solidFill>
              <a:ln>
                <a:solidFill>
                  <a:srgbClr val="002060"/>
                </a:solidFill>
              </a:ln>
            </c:spPr>
          </c:marker>
          <c:cat>
            <c:strRef>
              <c:f>'Whole Country'!$Q$785:$Q$798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Country'!$T$785:$T$798</c:f>
              <c:numCache>
                <c:formatCode>General</c:formatCode>
                <c:ptCount val="14"/>
                <c:pt idx="0">
                  <c:v>144</c:v>
                </c:pt>
                <c:pt idx="1">
                  <c:v>175</c:v>
                </c:pt>
                <c:pt idx="2">
                  <c:v>142</c:v>
                </c:pt>
                <c:pt idx="3">
                  <c:v>295</c:v>
                </c:pt>
                <c:pt idx="4">
                  <c:v>261</c:v>
                </c:pt>
                <c:pt idx="5">
                  <c:v>120</c:v>
                </c:pt>
                <c:pt idx="6">
                  <c:v>130</c:v>
                </c:pt>
                <c:pt idx="7">
                  <c:v>132</c:v>
                </c:pt>
                <c:pt idx="8">
                  <c:v>175</c:v>
                </c:pt>
                <c:pt idx="9">
                  <c:v>142</c:v>
                </c:pt>
                <c:pt idx="10">
                  <c:v>129</c:v>
                </c:pt>
                <c:pt idx="11">
                  <c:v>191</c:v>
                </c:pt>
                <c:pt idx="12">
                  <c:v>185</c:v>
                </c:pt>
                <c:pt idx="13">
                  <c:v>158</c:v>
                </c:pt>
              </c:numCache>
            </c:numRef>
          </c:val>
        </c:ser>
        <c:hiLowLines>
          <c:spPr>
            <a:ln w="34925">
              <a:solidFill>
                <a:srgbClr val="FF0000"/>
              </a:solidFill>
            </a:ln>
          </c:spPr>
        </c:hiLowLines>
        <c:axId val="64412288"/>
        <c:axId val="66534400"/>
      </c:stockChart>
      <c:catAx>
        <c:axId val="64412288"/>
        <c:scaling>
          <c:orientation val="minMax"/>
        </c:scaling>
        <c:axPos val="b"/>
        <c:majorTickMark val="none"/>
        <c:tickLblPos val="nextTo"/>
        <c:crossAx val="66534400"/>
        <c:crosses val="autoZero"/>
        <c:auto val="1"/>
        <c:lblAlgn val="ctr"/>
        <c:lblOffset val="100"/>
      </c:catAx>
      <c:valAx>
        <c:axId val="66534400"/>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4412288"/>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Recovery - Absa Bank</a:t>
            </a:r>
          </a:p>
        </c:rich>
      </c:tx>
      <c:layout/>
    </c:title>
    <c:plotArea>
      <c:layout/>
      <c:stockChart>
        <c:ser>
          <c:idx val="0"/>
          <c:order val="0"/>
          <c:tx>
            <c:strRef>
              <c:f>'Whole Country'!$W$784</c:f>
              <c:strCache>
                <c:ptCount val="1"/>
                <c:pt idx="0">
                  <c:v>Low</c:v>
                </c:pt>
              </c:strCache>
            </c:strRef>
          </c:tx>
          <c:spPr>
            <a:ln w="47625">
              <a:noFill/>
            </a:ln>
          </c:spPr>
          <c:marker>
            <c:symbol val="none"/>
          </c:marker>
          <c:cat>
            <c:strRef>
              <c:f>'Whole Country'!$V$785:$V$798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Country'!$W$785:$W$798</c:f>
              <c:numCache>
                <c:formatCode>General</c:formatCode>
                <c:ptCount val="14"/>
                <c:pt idx="0">
                  <c:v>5</c:v>
                </c:pt>
                <c:pt idx="1">
                  <c:v>95</c:v>
                </c:pt>
                <c:pt idx="2">
                  <c:v>43</c:v>
                </c:pt>
                <c:pt idx="3">
                  <c:v>150</c:v>
                </c:pt>
                <c:pt idx="4">
                  <c:v>6</c:v>
                </c:pt>
                <c:pt idx="5">
                  <c:v>5</c:v>
                </c:pt>
                <c:pt idx="6">
                  <c:v>100</c:v>
                </c:pt>
                <c:pt idx="7">
                  <c:v>50</c:v>
                </c:pt>
                <c:pt idx="8">
                  <c:v>80</c:v>
                </c:pt>
                <c:pt idx="9">
                  <c:v>80</c:v>
                </c:pt>
                <c:pt idx="10">
                  <c:v>95</c:v>
                </c:pt>
                <c:pt idx="11">
                  <c:v>97</c:v>
                </c:pt>
                <c:pt idx="12">
                  <c:v>87</c:v>
                </c:pt>
                <c:pt idx="13">
                  <c:v>80</c:v>
                </c:pt>
              </c:numCache>
            </c:numRef>
          </c:val>
        </c:ser>
        <c:ser>
          <c:idx val="1"/>
          <c:order val="1"/>
          <c:tx>
            <c:strRef>
              <c:f>'Whole Country'!$X$784</c:f>
              <c:strCache>
                <c:ptCount val="1"/>
                <c:pt idx="0">
                  <c:v>High</c:v>
                </c:pt>
              </c:strCache>
            </c:strRef>
          </c:tx>
          <c:spPr>
            <a:ln w="47625">
              <a:noFill/>
            </a:ln>
          </c:spPr>
          <c:marker>
            <c:symbol val="none"/>
          </c:marker>
          <c:cat>
            <c:strRef>
              <c:f>'Whole Country'!$V$785:$V$798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Country'!$X$785:$X$798</c:f>
              <c:numCache>
                <c:formatCode>General</c:formatCode>
                <c:ptCount val="14"/>
                <c:pt idx="0">
                  <c:v>550</c:v>
                </c:pt>
                <c:pt idx="1">
                  <c:v>151</c:v>
                </c:pt>
                <c:pt idx="2">
                  <c:v>468</c:v>
                </c:pt>
                <c:pt idx="3">
                  <c:v>500</c:v>
                </c:pt>
                <c:pt idx="4">
                  <c:v>315</c:v>
                </c:pt>
                <c:pt idx="5">
                  <c:v>285</c:v>
                </c:pt>
                <c:pt idx="6">
                  <c:v>200</c:v>
                </c:pt>
                <c:pt idx="7">
                  <c:v>250</c:v>
                </c:pt>
                <c:pt idx="8">
                  <c:v>299</c:v>
                </c:pt>
                <c:pt idx="9">
                  <c:v>250</c:v>
                </c:pt>
                <c:pt idx="10">
                  <c:v>273</c:v>
                </c:pt>
                <c:pt idx="11">
                  <c:v>350</c:v>
                </c:pt>
                <c:pt idx="12">
                  <c:v>245</c:v>
                </c:pt>
                <c:pt idx="13">
                  <c:v>550</c:v>
                </c:pt>
              </c:numCache>
            </c:numRef>
          </c:val>
        </c:ser>
        <c:ser>
          <c:idx val="2"/>
          <c:order val="2"/>
          <c:tx>
            <c:strRef>
              <c:f>'Whole Country'!$Y$784</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Country'!$V$785:$V$798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Country'!$Y$785:$Y$798</c:f>
              <c:numCache>
                <c:formatCode>General</c:formatCode>
                <c:ptCount val="14"/>
                <c:pt idx="0">
                  <c:v>143</c:v>
                </c:pt>
                <c:pt idx="1">
                  <c:v>250</c:v>
                </c:pt>
                <c:pt idx="2">
                  <c:v>143</c:v>
                </c:pt>
                <c:pt idx="3">
                  <c:v>295</c:v>
                </c:pt>
                <c:pt idx="4">
                  <c:v>115</c:v>
                </c:pt>
                <c:pt idx="5">
                  <c:v>122</c:v>
                </c:pt>
                <c:pt idx="6">
                  <c:v>145</c:v>
                </c:pt>
                <c:pt idx="7">
                  <c:v>125</c:v>
                </c:pt>
                <c:pt idx="8">
                  <c:v>193</c:v>
                </c:pt>
                <c:pt idx="9">
                  <c:v>136</c:v>
                </c:pt>
                <c:pt idx="10">
                  <c:v>126</c:v>
                </c:pt>
                <c:pt idx="11">
                  <c:v>182</c:v>
                </c:pt>
                <c:pt idx="12">
                  <c:v>173</c:v>
                </c:pt>
                <c:pt idx="13">
                  <c:v>168</c:v>
                </c:pt>
              </c:numCache>
            </c:numRef>
          </c:val>
        </c:ser>
        <c:hiLowLines>
          <c:spPr>
            <a:ln w="34925">
              <a:solidFill>
                <a:srgbClr val="FF0000"/>
              </a:solidFill>
            </a:ln>
          </c:spPr>
        </c:hiLowLines>
        <c:axId val="119778304"/>
        <c:axId val="119961856"/>
      </c:stockChart>
      <c:catAx>
        <c:axId val="119778304"/>
        <c:scaling>
          <c:orientation val="minMax"/>
        </c:scaling>
        <c:axPos val="b"/>
        <c:majorTickMark val="none"/>
        <c:tickLblPos val="nextTo"/>
        <c:crossAx val="119961856"/>
        <c:crosses val="autoZero"/>
        <c:auto val="1"/>
        <c:lblAlgn val="ctr"/>
        <c:lblOffset val="100"/>
      </c:catAx>
      <c:valAx>
        <c:axId val="119961856"/>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119778304"/>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ZA"/>
  <c:style val="24"/>
  <c:chart>
    <c:title>
      <c:tx>
        <c:rich>
          <a:bodyPr/>
          <a:lstStyle/>
          <a:p>
            <a:pPr>
              <a:defRPr sz="1100"/>
            </a:pPr>
            <a:r>
              <a:rPr lang="en-US" sz="1100"/>
              <a:t>Recovery - FNB</a:t>
            </a:r>
          </a:p>
        </c:rich>
      </c:tx>
      <c:layout/>
    </c:title>
    <c:plotArea>
      <c:layout/>
      <c:stockChart>
        <c:ser>
          <c:idx val="0"/>
          <c:order val="0"/>
          <c:tx>
            <c:strRef>
              <c:f>'Whole Country'!$AB$784</c:f>
              <c:strCache>
                <c:ptCount val="1"/>
                <c:pt idx="0">
                  <c:v>Low</c:v>
                </c:pt>
              </c:strCache>
            </c:strRef>
          </c:tx>
          <c:spPr>
            <a:ln w="47625">
              <a:noFill/>
            </a:ln>
          </c:spPr>
          <c:marker>
            <c:symbol val="none"/>
          </c:marker>
          <c:cat>
            <c:strRef>
              <c:f>'Whole Country'!$AA$785:$AA$798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Country'!$AB$785:$AB$798</c:f>
              <c:numCache>
                <c:formatCode>General</c:formatCode>
                <c:ptCount val="14"/>
                <c:pt idx="0">
                  <c:v>10</c:v>
                </c:pt>
                <c:pt idx="1">
                  <c:v>64</c:v>
                </c:pt>
                <c:pt idx="2">
                  <c:v>65</c:v>
                </c:pt>
                <c:pt idx="3">
                  <c:v>53</c:v>
                </c:pt>
                <c:pt idx="4">
                  <c:v>8</c:v>
                </c:pt>
                <c:pt idx="5">
                  <c:v>10</c:v>
                </c:pt>
                <c:pt idx="6">
                  <c:v>100</c:v>
                </c:pt>
                <c:pt idx="7">
                  <c:v>50</c:v>
                </c:pt>
                <c:pt idx="8">
                  <c:v>80</c:v>
                </c:pt>
                <c:pt idx="9">
                  <c:v>80</c:v>
                </c:pt>
                <c:pt idx="10">
                  <c:v>82</c:v>
                </c:pt>
                <c:pt idx="11">
                  <c:v>100</c:v>
                </c:pt>
                <c:pt idx="12">
                  <c:v>107</c:v>
                </c:pt>
                <c:pt idx="13">
                  <c:v>20</c:v>
                </c:pt>
              </c:numCache>
            </c:numRef>
          </c:val>
        </c:ser>
        <c:ser>
          <c:idx val="1"/>
          <c:order val="1"/>
          <c:tx>
            <c:strRef>
              <c:f>'Whole Country'!$AC$784</c:f>
              <c:strCache>
                <c:ptCount val="1"/>
                <c:pt idx="0">
                  <c:v>High</c:v>
                </c:pt>
              </c:strCache>
            </c:strRef>
          </c:tx>
          <c:spPr>
            <a:ln w="47625">
              <a:noFill/>
            </a:ln>
          </c:spPr>
          <c:marker>
            <c:symbol val="none"/>
          </c:marker>
          <c:cat>
            <c:strRef>
              <c:f>'Whole Country'!$AA$785:$AA$798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Country'!$AC$785:$AC$798</c:f>
              <c:numCache>
                <c:formatCode>General</c:formatCode>
                <c:ptCount val="14"/>
                <c:pt idx="0">
                  <c:v>550</c:v>
                </c:pt>
                <c:pt idx="1">
                  <c:v>280</c:v>
                </c:pt>
                <c:pt idx="2">
                  <c:v>468</c:v>
                </c:pt>
                <c:pt idx="3">
                  <c:v>400</c:v>
                </c:pt>
                <c:pt idx="4">
                  <c:v>315</c:v>
                </c:pt>
                <c:pt idx="5">
                  <c:v>285</c:v>
                </c:pt>
                <c:pt idx="6">
                  <c:v>200</c:v>
                </c:pt>
                <c:pt idx="7">
                  <c:v>250</c:v>
                </c:pt>
                <c:pt idx="8">
                  <c:v>299</c:v>
                </c:pt>
                <c:pt idx="9">
                  <c:v>250</c:v>
                </c:pt>
                <c:pt idx="10">
                  <c:v>142</c:v>
                </c:pt>
                <c:pt idx="11">
                  <c:v>117</c:v>
                </c:pt>
                <c:pt idx="12">
                  <c:v>245</c:v>
                </c:pt>
                <c:pt idx="13">
                  <c:v>550</c:v>
                </c:pt>
              </c:numCache>
            </c:numRef>
          </c:val>
        </c:ser>
        <c:ser>
          <c:idx val="2"/>
          <c:order val="2"/>
          <c:tx>
            <c:strRef>
              <c:f>'Whole Country'!$AD$784</c:f>
              <c:strCache>
                <c:ptCount val="1"/>
                <c:pt idx="0">
                  <c:v>Average</c:v>
                </c:pt>
              </c:strCache>
            </c:strRef>
          </c:tx>
          <c:spPr>
            <a:ln w="47625">
              <a:noFill/>
            </a:ln>
            <a:effectLst>
              <a:outerShdw blurRad="50800" dist="38100" dir="2700000" algn="tl" rotWithShape="0">
                <a:srgbClr val="002060">
                  <a:alpha val="40000"/>
                </a:srgbClr>
              </a:outerShdw>
            </a:effectLst>
          </c:spPr>
          <c:marker>
            <c:symbol val="dash"/>
            <c:size val="9"/>
            <c:spPr>
              <a:solidFill>
                <a:srgbClr val="002060"/>
              </a:solidFill>
              <a:ln>
                <a:solidFill>
                  <a:srgbClr val="002060"/>
                </a:solidFill>
              </a:ln>
              <a:effectLst>
                <a:outerShdw blurRad="50800" dist="38100" dir="2700000" algn="tl" rotWithShape="0">
                  <a:srgbClr val="002060">
                    <a:alpha val="40000"/>
                  </a:srgbClr>
                </a:outerShdw>
              </a:effectLst>
            </c:spPr>
          </c:marker>
          <c:cat>
            <c:strRef>
              <c:f>'Whole Country'!$AA$785:$AA$798</c:f>
              <c:strCache>
                <c:ptCount val="14"/>
                <c:pt idx="0">
                  <c:v>National</c:v>
                </c:pt>
                <c:pt idx="1">
                  <c:v>Bloemfontein</c:v>
                </c:pt>
                <c:pt idx="2">
                  <c:v>Cape Town</c:v>
                </c:pt>
                <c:pt idx="3">
                  <c:v>Durban</c:v>
                </c:pt>
                <c:pt idx="4">
                  <c:v>Jhb - East</c:v>
                </c:pt>
                <c:pt idx="5">
                  <c:v>Jhb - Sandton</c:v>
                </c:pt>
                <c:pt idx="6">
                  <c:v>Jhb - South</c:v>
                </c:pt>
                <c:pt idx="7">
                  <c:v>Jhb - West</c:v>
                </c:pt>
                <c:pt idx="8">
                  <c:v>Neslpruit</c:v>
                </c:pt>
                <c:pt idx="9">
                  <c:v>PE/EL</c:v>
                </c:pt>
                <c:pt idx="10">
                  <c:v>Pietermaritzburg</c:v>
                </c:pt>
                <c:pt idx="11">
                  <c:v>Polokwane</c:v>
                </c:pt>
                <c:pt idx="12">
                  <c:v>Potchefstroom</c:v>
                </c:pt>
                <c:pt idx="13">
                  <c:v>Pretoria</c:v>
                </c:pt>
              </c:strCache>
            </c:strRef>
          </c:cat>
          <c:val>
            <c:numRef>
              <c:f>'Whole Country'!$AD$785:$AD$798</c:f>
              <c:numCache>
                <c:formatCode>General</c:formatCode>
                <c:ptCount val="14"/>
                <c:pt idx="0">
                  <c:v>142</c:v>
                </c:pt>
                <c:pt idx="1">
                  <c:v>187</c:v>
                </c:pt>
                <c:pt idx="2">
                  <c:v>151</c:v>
                </c:pt>
                <c:pt idx="3">
                  <c:v>149</c:v>
                </c:pt>
                <c:pt idx="4">
                  <c:v>108</c:v>
                </c:pt>
                <c:pt idx="5">
                  <c:v>128</c:v>
                </c:pt>
                <c:pt idx="6">
                  <c:v>133</c:v>
                </c:pt>
                <c:pt idx="7">
                  <c:v>122</c:v>
                </c:pt>
                <c:pt idx="8">
                  <c:v>194</c:v>
                </c:pt>
                <c:pt idx="9">
                  <c:v>136</c:v>
                </c:pt>
                <c:pt idx="10">
                  <c:v>111</c:v>
                </c:pt>
                <c:pt idx="11">
                  <c:v>108</c:v>
                </c:pt>
                <c:pt idx="12">
                  <c:v>185</c:v>
                </c:pt>
                <c:pt idx="13">
                  <c:v>169</c:v>
                </c:pt>
              </c:numCache>
            </c:numRef>
          </c:val>
        </c:ser>
        <c:hiLowLines>
          <c:spPr>
            <a:ln w="34925">
              <a:solidFill>
                <a:srgbClr val="FF0000"/>
              </a:solidFill>
            </a:ln>
          </c:spPr>
        </c:hiLowLines>
        <c:axId val="64226048"/>
        <c:axId val="64256256"/>
      </c:stockChart>
      <c:catAx>
        <c:axId val="64226048"/>
        <c:scaling>
          <c:orientation val="minMax"/>
        </c:scaling>
        <c:axPos val="b"/>
        <c:majorTickMark val="none"/>
        <c:tickLblPos val="nextTo"/>
        <c:crossAx val="64256256"/>
        <c:crosses val="autoZero"/>
        <c:auto val="1"/>
        <c:lblAlgn val="ctr"/>
        <c:lblOffset val="100"/>
      </c:catAx>
      <c:valAx>
        <c:axId val="64256256"/>
        <c:scaling>
          <c:orientation val="minMax"/>
        </c:scaling>
        <c:axPos val="l"/>
        <c:majorGridlines/>
        <c:title>
          <c:tx>
            <c:rich>
              <a:bodyPr/>
              <a:lstStyle/>
              <a:p>
                <a:pPr>
                  <a:defRPr/>
                </a:pPr>
                <a:r>
                  <a:rPr lang="en-US"/>
                  <a:t>Amount R</a:t>
                </a:r>
              </a:p>
            </c:rich>
          </c:tx>
          <c:layout/>
        </c:title>
        <c:numFmt formatCode="#,##0.00" sourceLinked="0"/>
        <c:majorTickMark val="none"/>
        <c:tickLblPos val="nextTo"/>
        <c:crossAx val="642260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96AD-124C-45AF-9A4A-B4B9CB2F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17</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Bloemfontein</vt:lpstr>
    </vt:vector>
  </TitlesOfParts>
  <Company>Korbitec</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Bloemfontein</dc:title>
  <dc:subject/>
  <dc:creator>Korbitec</dc:creator>
  <cp:keywords/>
  <dc:description/>
  <cp:lastModifiedBy>Korbitec</cp:lastModifiedBy>
  <cp:revision>20</cp:revision>
  <dcterms:created xsi:type="dcterms:W3CDTF">2010-10-19T09:56:00Z</dcterms:created>
  <dcterms:modified xsi:type="dcterms:W3CDTF">2010-10-27T14:09:00Z</dcterms:modified>
</cp:coreProperties>
</file>