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45" w:rsidRPr="00412710" w:rsidRDefault="004642C2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Pietermaritzburg</w:t>
      </w:r>
      <w:r w:rsidR="00412710" w:rsidRPr="00412710">
        <w:rPr>
          <w:rFonts w:ascii="Helvetica" w:hAnsi="Helvetica"/>
          <w:sz w:val="24"/>
          <w:szCs w:val="24"/>
        </w:rPr>
        <w:t xml:space="preserve"> 2010</w:t>
      </w:r>
      <w:r w:rsidR="00E87A63">
        <w:rPr>
          <w:rFonts w:ascii="Helvetica" w:hAnsi="Helvetica"/>
          <w:sz w:val="24"/>
          <w:szCs w:val="24"/>
        </w:rPr>
        <w:t xml:space="preserve"> </w:t>
      </w:r>
      <w:r w:rsidR="002C41AD" w:rsidRPr="0015060E">
        <w:rPr>
          <w:rFonts w:ascii="Helvetica" w:hAnsi="Helvetica"/>
          <w:b/>
          <w:i/>
          <w:color w:val="663399"/>
          <w:sz w:val="24"/>
          <w:szCs w:val="24"/>
        </w:rPr>
        <w:t>GhostDigest</w:t>
      </w:r>
      <w:r w:rsidR="00E87A63">
        <w:rPr>
          <w:rFonts w:ascii="Helvetica" w:hAnsi="Helvetica"/>
          <w:sz w:val="24"/>
          <w:szCs w:val="24"/>
        </w:rPr>
        <w:t xml:space="preserve"> </w:t>
      </w:r>
      <w:r w:rsidR="00412710" w:rsidRPr="00412710">
        <w:rPr>
          <w:rFonts w:ascii="Helvetica" w:hAnsi="Helvetica"/>
          <w:sz w:val="24"/>
          <w:szCs w:val="24"/>
        </w:rPr>
        <w:t>Conveyancing Survey</w:t>
      </w:r>
    </w:p>
    <w:p w:rsidR="00E77D45" w:rsidRDefault="00F25B87">
      <w:r>
        <w:t xml:space="preserve">Responses </w:t>
      </w:r>
      <w:r w:rsidR="00E87A63">
        <w:t xml:space="preserve">were received </w:t>
      </w:r>
      <w:r>
        <w:t xml:space="preserve">from </w:t>
      </w:r>
      <w:r w:rsidR="004642C2">
        <w:t>29</w:t>
      </w:r>
      <w:r w:rsidR="00424EDB">
        <w:t xml:space="preserve"> </w:t>
      </w:r>
      <w:r>
        <w:t xml:space="preserve">firms representing </w:t>
      </w:r>
      <w:r w:rsidR="004642C2">
        <w:t>39</w:t>
      </w:r>
      <w:r>
        <w:t xml:space="preserve"> conveyancers and </w:t>
      </w:r>
      <w:r w:rsidR="00A00031">
        <w:t>1</w:t>
      </w:r>
      <w:r w:rsidR="004642C2">
        <w:t>00</w:t>
      </w:r>
      <w:r>
        <w:t xml:space="preserve"> conveyancing secretaries.</w:t>
      </w:r>
      <w:r w:rsidR="0074168B">
        <w:t xml:space="preserve">  The results read as follows:</w:t>
      </w:r>
    </w:p>
    <w:p w:rsidR="006577CE" w:rsidRDefault="006577CE"/>
    <w:p w:rsidR="006577CE" w:rsidRDefault="006577CE">
      <w:r>
        <w:rPr>
          <w:noProof/>
          <w:lang w:eastAsia="en-ZA"/>
        </w:rPr>
        <w:drawing>
          <wp:inline distT="0" distB="0" distL="0" distR="0">
            <wp:extent cx="5572125" cy="3362325"/>
            <wp:effectExtent l="19050" t="0" r="9525" b="0"/>
            <wp:docPr id="86" name="Chart 8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77CE" w:rsidRDefault="006577CE"/>
    <w:p w:rsidR="006577CE" w:rsidRDefault="006577CE"/>
    <w:p w:rsidR="006577CE" w:rsidRDefault="006577CE">
      <w:r>
        <w:rPr>
          <w:noProof/>
          <w:lang w:eastAsia="en-ZA"/>
        </w:rPr>
        <w:drawing>
          <wp:inline distT="0" distB="0" distL="0" distR="0">
            <wp:extent cx="5562600" cy="3362325"/>
            <wp:effectExtent l="19050" t="0" r="19050" b="0"/>
            <wp:docPr id="87" name="Chart 8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577CE" w:rsidRDefault="006577CE"/>
    <w:p w:rsidR="006577CE" w:rsidRDefault="006577CE">
      <w:r>
        <w:rPr>
          <w:noProof/>
          <w:lang w:eastAsia="en-ZA"/>
        </w:rPr>
        <w:drawing>
          <wp:inline distT="0" distB="0" distL="0" distR="0">
            <wp:extent cx="5581650" cy="3762375"/>
            <wp:effectExtent l="19050" t="0" r="19050" b="0"/>
            <wp:docPr id="88" name="Chart 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77CE" w:rsidRDefault="006577CE"/>
    <w:p w:rsidR="006577CE" w:rsidRDefault="006577CE"/>
    <w:p w:rsidR="006577CE" w:rsidRDefault="006577CE">
      <w:r>
        <w:rPr>
          <w:noProof/>
          <w:lang w:eastAsia="en-ZA"/>
        </w:rPr>
        <w:drawing>
          <wp:inline distT="0" distB="0" distL="0" distR="0">
            <wp:extent cx="5581650" cy="3962400"/>
            <wp:effectExtent l="19050" t="0" r="19050" b="0"/>
            <wp:docPr id="89" name="Chart 8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577CE" w:rsidRDefault="006577CE"/>
    <w:p w:rsidR="006577CE" w:rsidRDefault="006577CE">
      <w:r>
        <w:rPr>
          <w:noProof/>
          <w:lang w:eastAsia="en-ZA"/>
        </w:rPr>
        <w:drawing>
          <wp:inline distT="0" distB="0" distL="0" distR="0">
            <wp:extent cx="5572125" cy="3543300"/>
            <wp:effectExtent l="19050" t="0" r="9525" b="0"/>
            <wp:docPr id="90" name="Chart 9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577CE" w:rsidRDefault="006577CE"/>
    <w:p w:rsidR="006577CE" w:rsidRDefault="006577CE"/>
    <w:p w:rsidR="006577CE" w:rsidRDefault="006577CE">
      <w:r>
        <w:rPr>
          <w:noProof/>
          <w:lang w:eastAsia="en-ZA"/>
        </w:rPr>
        <w:drawing>
          <wp:inline distT="0" distB="0" distL="0" distR="0">
            <wp:extent cx="5572125" cy="3800475"/>
            <wp:effectExtent l="19050" t="0" r="9525" b="0"/>
            <wp:docPr id="91" name="Chart 9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577CE" w:rsidRDefault="006577CE"/>
    <w:p w:rsidR="006577CE" w:rsidRDefault="006577CE">
      <w:r>
        <w:rPr>
          <w:noProof/>
          <w:lang w:eastAsia="en-ZA"/>
        </w:rPr>
        <w:lastRenderedPageBreak/>
        <w:drawing>
          <wp:inline distT="0" distB="0" distL="0" distR="0">
            <wp:extent cx="5581650" cy="3962400"/>
            <wp:effectExtent l="19050" t="0" r="19050" b="0"/>
            <wp:docPr id="92" name="Chart 9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577CE" w:rsidRDefault="006577CE"/>
    <w:p w:rsidR="006577CE" w:rsidRDefault="006577CE"/>
    <w:p w:rsidR="006577CE" w:rsidRDefault="006577CE">
      <w:r>
        <w:rPr>
          <w:noProof/>
          <w:lang w:eastAsia="en-ZA"/>
        </w:rPr>
        <w:drawing>
          <wp:inline distT="0" distB="0" distL="0" distR="0">
            <wp:extent cx="5581650" cy="3533775"/>
            <wp:effectExtent l="19050" t="0" r="19050" b="0"/>
            <wp:docPr id="93" name="Chart 9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577CE" w:rsidRDefault="006577CE"/>
    <w:p w:rsidR="006577CE" w:rsidRDefault="006577CE">
      <w:r>
        <w:rPr>
          <w:noProof/>
          <w:lang w:eastAsia="en-ZA"/>
        </w:rPr>
        <w:lastRenderedPageBreak/>
        <w:drawing>
          <wp:inline distT="0" distB="0" distL="0" distR="0">
            <wp:extent cx="5543550" cy="3990975"/>
            <wp:effectExtent l="19050" t="0" r="19050" b="0"/>
            <wp:docPr id="94" name="Chart 9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577CE" w:rsidRDefault="006577CE"/>
    <w:p w:rsidR="006577CE" w:rsidRDefault="006577CE"/>
    <w:p w:rsidR="006577CE" w:rsidRDefault="006577CE">
      <w:r>
        <w:rPr>
          <w:noProof/>
          <w:lang w:eastAsia="en-ZA"/>
        </w:rPr>
        <w:drawing>
          <wp:inline distT="0" distB="0" distL="0" distR="0">
            <wp:extent cx="5543550" cy="3438525"/>
            <wp:effectExtent l="19050" t="0" r="19050" b="0"/>
            <wp:docPr id="95" name="Chart 9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577CE" w:rsidRDefault="006577CE"/>
    <w:p w:rsidR="006577CE" w:rsidRDefault="006577CE">
      <w:r>
        <w:rPr>
          <w:noProof/>
          <w:lang w:eastAsia="en-ZA"/>
        </w:rPr>
        <w:lastRenderedPageBreak/>
        <w:drawing>
          <wp:inline distT="0" distB="0" distL="0" distR="0">
            <wp:extent cx="5572125" cy="3390900"/>
            <wp:effectExtent l="19050" t="0" r="9525" b="0"/>
            <wp:docPr id="96" name="Chart 9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577CE" w:rsidRDefault="006577CE"/>
    <w:p w:rsidR="006577CE" w:rsidRDefault="006577CE"/>
    <w:p w:rsidR="006577CE" w:rsidRDefault="006577CE">
      <w:r>
        <w:rPr>
          <w:noProof/>
          <w:lang w:eastAsia="en-ZA"/>
        </w:rPr>
        <w:drawing>
          <wp:inline distT="0" distB="0" distL="0" distR="0">
            <wp:extent cx="5572125" cy="3895725"/>
            <wp:effectExtent l="19050" t="0" r="9525" b="0"/>
            <wp:docPr id="97" name="Chart 9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24DA4" w:rsidRDefault="00824DA4"/>
    <w:p w:rsidR="00824DA4" w:rsidRDefault="00824DA4">
      <w:r w:rsidRPr="00824DA4">
        <w:lastRenderedPageBreak/>
        <w:drawing>
          <wp:inline distT="0" distB="0" distL="0" distR="0">
            <wp:extent cx="5553075" cy="2733675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sectPr w:rsidR="00824DA4" w:rsidSect="00816DB9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EDB" w:rsidRDefault="00424EDB" w:rsidP="0044524C">
      <w:pPr>
        <w:spacing w:after="0" w:line="240" w:lineRule="auto"/>
      </w:pPr>
      <w:r>
        <w:separator/>
      </w:r>
    </w:p>
  </w:endnote>
  <w:endnote w:type="continuationSeparator" w:id="0">
    <w:p w:rsidR="00424EDB" w:rsidRDefault="00424EDB" w:rsidP="0044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EDB" w:rsidRDefault="007D0066">
    <w:pPr>
      <w:pStyle w:val="Footer"/>
    </w:pPr>
    <w:sdt>
      <w:sdtPr>
        <w:rPr>
          <w:sz w:val="20"/>
          <w:szCs w:val="20"/>
        </w:rPr>
        <w:alias w:val="Title"/>
        <w:id w:val="1692002"/>
        <w:placeholder>
          <w:docPart w:val="66B48D250EE943178789300EA2AFE0F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F6184">
          <w:rPr>
            <w:sz w:val="20"/>
            <w:szCs w:val="20"/>
          </w:rPr>
          <w:t>Pietermaritzburg</w:t>
        </w:r>
      </w:sdtContent>
    </w:sdt>
    <w:r w:rsidR="00424EDB">
      <w:tab/>
    </w:r>
    <w:sdt>
      <w:sdtPr>
        <w:id w:val="1692001"/>
        <w:docPartObj>
          <w:docPartGallery w:val="Page Numbers (Bottom of Page)"/>
          <w:docPartUnique/>
        </w:docPartObj>
      </w:sdtPr>
      <w:sdtContent>
        <w:r w:rsidRPr="007D0066">
          <w:rPr>
            <w:noProof/>
            <w:lang w:val="en-US" w:eastAsia="zh-TW"/>
          </w:rPr>
          <w:pict>
            <v:group id="_x0000_s2049" style="position:absolute;margin-left:-75.65pt;margin-top:0;width:34.4pt;height:56.45pt;z-index:251660288;mso-position-horizontal:right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0" type="#_x0000_t32" style="position:absolute;left:2111;top:15387;width:0;height:441;flip:y" o:connectortype="straight" strokecolor="#7f7f7f [1612]"/>
              <v:rect id="_x0000_s2051" style="position:absolute;left:1743;top:14699;width:688;height:688;v-text-anchor:middle" filled="f" strokecolor="#7f7f7f [1612]">
                <v:textbox>
                  <w:txbxContent>
                    <w:p w:rsidR="00424EDB" w:rsidRDefault="007D0066">
                      <w:pPr>
                        <w:pStyle w:val="Footer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824DA4" w:rsidRPr="00824DA4">
                          <w:rPr>
                            <w:noProof/>
                            <w:sz w:val="16"/>
                            <w:szCs w:val="16"/>
                          </w:rPr>
                          <w:t>6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EDB" w:rsidRDefault="00424EDB" w:rsidP="0044524C">
      <w:pPr>
        <w:spacing w:after="0" w:line="240" w:lineRule="auto"/>
      </w:pPr>
      <w:r>
        <w:separator/>
      </w:r>
    </w:p>
  </w:footnote>
  <w:footnote w:type="continuationSeparator" w:id="0">
    <w:p w:rsidR="00424EDB" w:rsidRDefault="00424EDB" w:rsidP="00445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77D45"/>
    <w:rsid w:val="001E20C0"/>
    <w:rsid w:val="002C41AD"/>
    <w:rsid w:val="002F6184"/>
    <w:rsid w:val="003F3870"/>
    <w:rsid w:val="00412710"/>
    <w:rsid w:val="00424EDB"/>
    <w:rsid w:val="0044524C"/>
    <w:rsid w:val="004642C2"/>
    <w:rsid w:val="00626293"/>
    <w:rsid w:val="006577CE"/>
    <w:rsid w:val="00657CA3"/>
    <w:rsid w:val="006B0510"/>
    <w:rsid w:val="006F2F4C"/>
    <w:rsid w:val="0074168B"/>
    <w:rsid w:val="007D0066"/>
    <w:rsid w:val="00816DB9"/>
    <w:rsid w:val="00824DA4"/>
    <w:rsid w:val="00877559"/>
    <w:rsid w:val="00A00031"/>
    <w:rsid w:val="00A03E4A"/>
    <w:rsid w:val="00A1008B"/>
    <w:rsid w:val="00E77D45"/>
    <w:rsid w:val="00E87A63"/>
    <w:rsid w:val="00EF6DA7"/>
    <w:rsid w:val="00F25B87"/>
    <w:rsid w:val="00F40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D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45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524C"/>
  </w:style>
  <w:style w:type="paragraph" w:styleId="Footer">
    <w:name w:val="footer"/>
    <w:basedOn w:val="Normal"/>
    <w:link w:val="FooterChar"/>
    <w:uiPriority w:val="99"/>
    <w:unhideWhenUsed/>
    <w:rsid w:val="00445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24C"/>
  </w:style>
  <w:style w:type="character" w:styleId="PlaceholderText">
    <w:name w:val="Placeholder Text"/>
    <w:basedOn w:val="DefaultParagraphFont"/>
    <w:uiPriority w:val="99"/>
    <w:semiHidden/>
    <w:rsid w:val="00E87A6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ietermaritzburg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ietermaritzburg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ietermaritzburg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ietermaritzburg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ietermaritzburg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ietermaritzburg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ietermaritzburg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ietermaritzburg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ietermaritzburg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ietermaritzburg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ietermaritzburg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ietermaritzburg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Pietermaritzburg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Number of partners in firm</a:t>
            </a:r>
          </a:p>
        </c:rich>
      </c:tx>
      <c:layout>
        <c:manualLayout>
          <c:xMode val="edge"/>
          <c:yMode val="edge"/>
          <c:x val="0.34502327452970838"/>
          <c:y val="2.0020020020020044E-2"/>
        </c:manualLayout>
      </c:layout>
    </c:title>
    <c:plotArea>
      <c:layout/>
      <c:pie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Pietermaritzburg!$B$41:$B$43</c:f>
              <c:strCache>
                <c:ptCount val="3"/>
                <c:pt idx="0">
                  <c:v>Sole Practitioner</c:v>
                </c:pt>
                <c:pt idx="1">
                  <c:v>2 to 5</c:v>
                </c:pt>
                <c:pt idx="2">
                  <c:v>6 to 10</c:v>
                </c:pt>
              </c:strCache>
            </c:strRef>
          </c:cat>
          <c:val>
            <c:numRef>
              <c:f>Pietermaritzburg!$C$41:$C$43</c:f>
              <c:numCache>
                <c:formatCode>0</c:formatCode>
                <c:ptCount val="3"/>
                <c:pt idx="0">
                  <c:v>30.76923076923077</c:v>
                </c:pt>
                <c:pt idx="1">
                  <c:v>57.692307692307686</c:v>
                </c:pt>
                <c:pt idx="2">
                  <c:v>11.538461538461538</c:v>
                </c:pt>
              </c:numCache>
            </c:numRef>
          </c:val>
        </c:ser>
        <c:dLbls>
          <c:showPercent val="1"/>
        </c:dLbls>
        <c:firstSliceAng val="53"/>
      </c:pieChart>
    </c:plotArea>
    <c:legend>
      <c:legendPos val="r"/>
      <c:layout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Average matters lodged per secretary per month 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247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Pietermaritzburg!$AS$47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Pietermaritzburg!$AT$46</c:f>
              <c:strCache>
                <c:ptCount val="1"/>
                <c:pt idx="0">
                  <c:v>Average matters per secretary</c:v>
                </c:pt>
              </c:strCache>
            </c:strRef>
          </c:cat>
          <c:val>
            <c:numRef>
              <c:f>Pietermaritzburg!$AT$47</c:f>
              <c:numCache>
                <c:formatCode>0.00</c:formatCode>
                <c:ptCount val="1"/>
                <c:pt idx="0">
                  <c:v>1.625</c:v>
                </c:pt>
              </c:numCache>
            </c:numRef>
          </c:val>
        </c:ser>
        <c:ser>
          <c:idx val="1"/>
          <c:order val="1"/>
          <c:tx>
            <c:strRef>
              <c:f>Pietermaritzburg!$AS$48</c:f>
              <c:strCache>
                <c:ptCount val="1"/>
                <c:pt idx="0">
                  <c:v>Average</c:v>
                </c:pt>
              </c:strCache>
            </c:strRef>
          </c:tx>
          <c:cat>
            <c:strRef>
              <c:f>Pietermaritzburg!$AT$46</c:f>
              <c:strCache>
                <c:ptCount val="1"/>
                <c:pt idx="0">
                  <c:v>Average matters per secretary</c:v>
                </c:pt>
              </c:strCache>
            </c:strRef>
          </c:cat>
          <c:val>
            <c:numRef>
              <c:f>Pietermaritzburg!$AT$48</c:f>
              <c:numCache>
                <c:formatCode>0.00</c:formatCode>
                <c:ptCount val="1"/>
                <c:pt idx="0">
                  <c:v>7.1527777777777759</c:v>
                </c:pt>
              </c:numCache>
            </c:numRef>
          </c:val>
        </c:ser>
        <c:ser>
          <c:idx val="2"/>
          <c:order val="2"/>
          <c:tx>
            <c:strRef>
              <c:f>Pietermaritzburg!$AS$49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Pietermaritzburg!$AT$46</c:f>
              <c:strCache>
                <c:ptCount val="1"/>
                <c:pt idx="0">
                  <c:v>Average matters per secretary</c:v>
                </c:pt>
              </c:strCache>
            </c:strRef>
          </c:cat>
          <c:val>
            <c:numRef>
              <c:f>Pietermaritzburg!$AT$49</c:f>
              <c:numCache>
                <c:formatCode>0.00</c:formatCode>
                <c:ptCount val="1"/>
                <c:pt idx="0">
                  <c:v>12.5</c:v>
                </c:pt>
              </c:numCache>
            </c:numRef>
          </c:val>
        </c:ser>
        <c:axId val="73286784"/>
        <c:axId val="73288320"/>
      </c:barChart>
      <c:catAx>
        <c:axId val="73286784"/>
        <c:scaling>
          <c:orientation val="minMax"/>
        </c:scaling>
        <c:delete val="1"/>
        <c:axPos val="b"/>
        <c:majorTickMark val="none"/>
        <c:tickLblPos val="none"/>
        <c:crossAx val="73288320"/>
        <c:crosses val="autoZero"/>
        <c:auto val="1"/>
        <c:lblAlgn val="ctr"/>
        <c:lblOffset val="100"/>
      </c:catAx>
      <c:valAx>
        <c:axId val="7328832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Number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73286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9"/>
          <c:w val="0.11309567406262468"/>
          <c:h val="0.20317880208794126"/>
        </c:manualLayout>
      </c:layout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Conveyancer/Secretary ratio</a:t>
            </a:r>
          </a:p>
        </c:rich>
      </c:tx>
      <c:layout>
        <c:manualLayout>
          <c:xMode val="edge"/>
          <c:yMode val="edge"/>
          <c:x val="0.34539713023676916"/>
          <c:y val="5.1416771101810713E-2"/>
        </c:manualLayout>
      </c:layout>
      <c:overlay val="1"/>
    </c:title>
    <c:plotArea>
      <c:layout>
        <c:manualLayout>
          <c:layoutTarget val="inner"/>
          <c:xMode val="edge"/>
          <c:yMode val="edge"/>
          <c:x val="0.13970552461430125"/>
          <c:y val="0.17464866441244453"/>
          <c:w val="0.73970734908136448"/>
          <c:h val="0.79822506561679785"/>
        </c:manualLayout>
      </c:layout>
      <c:pieChart>
        <c:varyColors val="1"/>
        <c:ser>
          <c:idx val="0"/>
          <c:order val="0"/>
          <c:dLbls>
            <c:numFmt formatCode="#,##0.00" sourceLinked="0"/>
            <c:dLblPos val="inEnd"/>
            <c:showVal val="1"/>
          </c:dLbls>
          <c:cat>
            <c:strRef>
              <c:f>Pietermaritzburg!$AC$50:$AC$51</c:f>
              <c:strCache>
                <c:ptCount val="2"/>
                <c:pt idx="0">
                  <c:v>Conveyancers</c:v>
                </c:pt>
                <c:pt idx="1">
                  <c:v>Secretaries</c:v>
                </c:pt>
              </c:strCache>
            </c:strRef>
          </c:cat>
          <c:val>
            <c:numRef>
              <c:f>Pietermaritzburg!$AD$50:$AD$51</c:f>
              <c:numCache>
                <c:formatCode>General</c:formatCode>
                <c:ptCount val="2"/>
                <c:pt idx="0">
                  <c:v>1</c:v>
                </c:pt>
                <c:pt idx="1">
                  <c:v>2.5384615384615392</c:v>
                </c:pt>
              </c:numCache>
            </c:numRef>
          </c:val>
        </c:ser>
        <c:firstSliceAng val="53"/>
      </c:pieChart>
    </c:plotArea>
    <c:legend>
      <c:legendPos val="r"/>
      <c:layout/>
      <c:overlay val="1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Average salaries of secretaries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247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Pietermaritzburg!$AH$43</c:f>
              <c:strCache>
                <c:ptCount val="1"/>
                <c:pt idx="0">
                  <c:v>Below R5 000</c:v>
                </c:pt>
              </c:strCache>
            </c:strRef>
          </c:tx>
          <c:cat>
            <c:strRef>
              <c:f>Pietermaritzburg!$AI$42:$AJ$42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Pietermaritzburg!$AI$43:$AJ$43</c:f>
              <c:numCache>
                <c:formatCode>General</c:formatCode>
                <c:ptCount val="2"/>
                <c:pt idx="0" formatCode="0.00">
                  <c:v>0</c:v>
                </c:pt>
                <c:pt idx="1">
                  <c:v>23.07692307692307</c:v>
                </c:pt>
              </c:numCache>
            </c:numRef>
          </c:val>
        </c:ser>
        <c:ser>
          <c:idx val="1"/>
          <c:order val="1"/>
          <c:tx>
            <c:strRef>
              <c:f>Pietermaritzburg!$AH$44</c:f>
              <c:strCache>
                <c:ptCount val="1"/>
                <c:pt idx="0">
                  <c:v>Between R5 000 and R10 000</c:v>
                </c:pt>
              </c:strCache>
            </c:strRef>
          </c:tx>
          <c:cat>
            <c:strRef>
              <c:f>Pietermaritzburg!$AI$42:$AJ$42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Pietermaritzburg!$AI$44:$AJ$44</c:f>
              <c:numCache>
                <c:formatCode>0.00</c:formatCode>
                <c:ptCount val="2"/>
                <c:pt idx="0">
                  <c:v>50</c:v>
                </c:pt>
                <c:pt idx="1">
                  <c:v>76.923076923076906</c:v>
                </c:pt>
              </c:numCache>
            </c:numRef>
          </c:val>
        </c:ser>
        <c:ser>
          <c:idx val="2"/>
          <c:order val="2"/>
          <c:tx>
            <c:strRef>
              <c:f>Pietermaritzburg!$AH$45</c:f>
              <c:strCache>
                <c:ptCount val="1"/>
                <c:pt idx="0">
                  <c:v>Between R10 000 and R20 000</c:v>
                </c:pt>
              </c:strCache>
            </c:strRef>
          </c:tx>
          <c:cat>
            <c:strRef>
              <c:f>Pietermaritzburg!$AI$42:$AJ$42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Pietermaritzburg!$AI$45:$AJ$45</c:f>
              <c:numCache>
                <c:formatCode>0.00</c:formatCode>
                <c:ptCount val="2"/>
                <c:pt idx="0">
                  <c:v>50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Pietermaritzburg!$AH$46</c:f>
              <c:strCache>
                <c:ptCount val="1"/>
                <c:pt idx="0">
                  <c:v>Above R20 000</c:v>
                </c:pt>
              </c:strCache>
            </c:strRef>
          </c:tx>
          <c:cat>
            <c:strRef>
              <c:f>Pietermaritzburg!$AI$42:$AJ$42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Pietermaritzburg!$AI$46:$AJ$46</c:f>
              <c:numCache>
                <c:formatCode>General</c:formatCode>
                <c:ptCount val="2"/>
                <c:pt idx="0" formatCode="0.00">
                  <c:v>0</c:v>
                </c:pt>
                <c:pt idx="1">
                  <c:v>0</c:v>
                </c:pt>
              </c:numCache>
            </c:numRef>
          </c:val>
        </c:ser>
        <c:axId val="73473024"/>
        <c:axId val="73495296"/>
      </c:barChart>
      <c:catAx>
        <c:axId val="73473024"/>
        <c:scaling>
          <c:orientation val="minMax"/>
        </c:scaling>
        <c:axPos val="b"/>
        <c:majorTickMark val="none"/>
        <c:tickLblPos val="nextTo"/>
        <c:crossAx val="73495296"/>
        <c:crosses val="autoZero"/>
        <c:auto val="1"/>
        <c:lblAlgn val="ctr"/>
        <c:lblOffset val="100"/>
      </c:catAx>
      <c:valAx>
        <c:axId val="73495296"/>
        <c:scaling>
          <c:orientation val="minMax"/>
          <c:max val="8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ZA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734730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000015960839902"/>
          <c:y val="0.87545621029109533"/>
          <c:w val="0.76470476613734062"/>
          <c:h val="0.11642595053452072"/>
        </c:manualLayout>
      </c:layout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Active matters per secretary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247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Pietermaritzburg!$AO$47</c:f>
              <c:strCache>
                <c:ptCount val="1"/>
                <c:pt idx="0">
                  <c:v>Low</c:v>
                </c:pt>
              </c:strCache>
            </c:strRef>
          </c:tx>
          <c:val>
            <c:numRef>
              <c:f>Pietermaritzburg!$AP$47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Pietermaritzburg!$AO$48</c:f>
              <c:strCache>
                <c:ptCount val="1"/>
                <c:pt idx="0">
                  <c:v>Average</c:v>
                </c:pt>
              </c:strCache>
            </c:strRef>
          </c:tx>
          <c:val>
            <c:numRef>
              <c:f>Pietermaritzburg!$AP$48</c:f>
              <c:numCache>
                <c:formatCode>General</c:formatCode>
                <c:ptCount val="1"/>
                <c:pt idx="0">
                  <c:v>20.75</c:v>
                </c:pt>
              </c:numCache>
            </c:numRef>
          </c:val>
        </c:ser>
        <c:ser>
          <c:idx val="2"/>
          <c:order val="2"/>
          <c:tx>
            <c:strRef>
              <c:f>Pietermaritzburg!$AO$49</c:f>
              <c:strCache>
                <c:ptCount val="1"/>
                <c:pt idx="0">
                  <c:v>High</c:v>
                </c:pt>
              </c:strCache>
            </c:strRef>
          </c:tx>
          <c:val>
            <c:numRef>
              <c:f>Pietermaritzburg!$AP$49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axId val="85741952"/>
        <c:axId val="85766912"/>
      </c:barChart>
      <c:catAx>
        <c:axId val="85741952"/>
        <c:scaling>
          <c:orientation val="minMax"/>
        </c:scaling>
        <c:delete val="1"/>
        <c:axPos val="b"/>
        <c:majorTickMark val="none"/>
        <c:tickLblPos val="none"/>
        <c:crossAx val="85766912"/>
        <c:crosses val="autoZero"/>
        <c:auto val="1"/>
        <c:lblAlgn val="ctr"/>
        <c:lblOffset val="100"/>
      </c:catAx>
      <c:valAx>
        <c:axId val="8576691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Number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85741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9"/>
          <c:w val="0.11309567406262468"/>
          <c:h val="0.20317880208794126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ZA" sz="1200"/>
              <a:t>Postage and Petties Recovery</a:t>
            </a:r>
          </a:p>
        </c:rich>
      </c:tx>
      <c:layout>
        <c:manualLayout>
          <c:xMode val="edge"/>
          <c:yMode val="edge"/>
          <c:x val="0.3505160520632854"/>
          <c:y val="3.5031847133758093E-2"/>
        </c:manualLayout>
      </c:layout>
    </c:title>
    <c:plotArea>
      <c:layout>
        <c:manualLayout>
          <c:layoutTarget val="inner"/>
          <c:xMode val="edge"/>
          <c:yMode val="edge"/>
          <c:x val="0.14456841106245344"/>
          <c:y val="0.19164351647055317"/>
          <c:w val="0.71969426797022662"/>
          <c:h val="0.67778347931227845"/>
        </c:manualLayout>
      </c:layout>
      <c:barChart>
        <c:barDir val="col"/>
        <c:grouping val="clustered"/>
        <c:ser>
          <c:idx val="0"/>
          <c:order val="0"/>
          <c:tx>
            <c:strRef>
              <c:f>Pietermaritzburg!$K$53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Pietermaritzburg!$L$52:$N$52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Pietermaritzburg!$L$53:$N$53</c:f>
              <c:numCache>
                <c:formatCode>General</c:formatCode>
                <c:ptCount val="3"/>
                <c:pt idx="0">
                  <c:v>200</c:v>
                </c:pt>
                <c:pt idx="1">
                  <c:v>150</c:v>
                </c:pt>
                <c:pt idx="2">
                  <c:v>70</c:v>
                </c:pt>
              </c:numCache>
            </c:numRef>
          </c:val>
        </c:ser>
        <c:ser>
          <c:idx val="1"/>
          <c:order val="1"/>
          <c:tx>
            <c:strRef>
              <c:f>Pietermaritzburg!$K$54</c:f>
              <c:strCache>
                <c:ptCount val="1"/>
                <c:pt idx="0">
                  <c:v>Lower 1/4</c:v>
                </c:pt>
              </c:strCache>
            </c:strRef>
          </c:tx>
          <c:cat>
            <c:strRef>
              <c:f>Pietermaritzburg!$L$52:$N$52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Pietermaritzburg!$L$54:$N$54</c:f>
              <c:numCache>
                <c:formatCode>General</c:formatCode>
                <c:ptCount val="3"/>
                <c:pt idx="0">
                  <c:v>350</c:v>
                </c:pt>
                <c:pt idx="1">
                  <c:v>281.25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Pietermaritzburg!$K$55</c:f>
              <c:strCache>
                <c:ptCount val="1"/>
                <c:pt idx="0">
                  <c:v>Median</c:v>
                </c:pt>
              </c:strCache>
            </c:strRef>
          </c:tx>
          <c:cat>
            <c:strRef>
              <c:f>Pietermaritzburg!$L$52:$N$52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Pietermaritzburg!$L$55:$N$55</c:f>
              <c:numCache>
                <c:formatCode>General</c:formatCode>
                <c:ptCount val="3"/>
                <c:pt idx="0">
                  <c:v>350</c:v>
                </c:pt>
                <c:pt idx="1">
                  <c:v>325</c:v>
                </c:pt>
                <c:pt idx="2">
                  <c:v>125</c:v>
                </c:pt>
              </c:numCache>
            </c:numRef>
          </c:val>
        </c:ser>
        <c:ser>
          <c:idx val="3"/>
          <c:order val="3"/>
          <c:tx>
            <c:strRef>
              <c:f>Pietermaritzburg!$K$56</c:f>
              <c:strCache>
                <c:ptCount val="1"/>
                <c:pt idx="0">
                  <c:v>Three quarter</c:v>
                </c:pt>
              </c:strCache>
            </c:strRef>
          </c:tx>
          <c:cat>
            <c:strRef>
              <c:f>Pietermaritzburg!$L$52:$N$52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Pietermaritzburg!$L$56:$N$56</c:f>
              <c:numCache>
                <c:formatCode>General</c:formatCode>
                <c:ptCount val="3"/>
                <c:pt idx="0">
                  <c:v>400</c:v>
                </c:pt>
                <c:pt idx="1">
                  <c:v>371.25</c:v>
                </c:pt>
                <c:pt idx="2">
                  <c:v>207</c:v>
                </c:pt>
              </c:numCache>
            </c:numRef>
          </c:val>
        </c:ser>
        <c:ser>
          <c:idx val="4"/>
          <c:order val="4"/>
          <c:tx>
            <c:strRef>
              <c:f>Pietermaritzburg!$K$57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Pietermaritzburg!$L$52:$N$52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Pietermaritzburg!$L$57:$N$57</c:f>
              <c:numCache>
                <c:formatCode>General</c:formatCode>
                <c:ptCount val="3"/>
                <c:pt idx="0">
                  <c:v>500</c:v>
                </c:pt>
                <c:pt idx="1">
                  <c:v>500</c:v>
                </c:pt>
                <c:pt idx="2">
                  <c:v>350</c:v>
                </c:pt>
              </c:numCache>
            </c:numRef>
          </c:val>
        </c:ser>
        <c:axId val="22662528"/>
        <c:axId val="22672512"/>
      </c:barChart>
      <c:catAx>
        <c:axId val="2266252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2672512"/>
        <c:crosses val="autoZero"/>
        <c:auto val="1"/>
        <c:lblAlgn val="ctr"/>
        <c:lblOffset val="100"/>
        <c:tickLblSkip val="1"/>
        <c:tickMarkSkip val="1"/>
      </c:catAx>
      <c:valAx>
        <c:axId val="22672512"/>
        <c:scaling>
          <c:orientation val="minMax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22662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966031553565881"/>
          <c:y val="0.37497272110649188"/>
          <c:w val="0.11647486391733217"/>
          <c:h val="0.42102834055855382"/>
        </c:manualLayout>
      </c:layout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Deeds Office Search Recovery</a:t>
            </a:r>
          </a:p>
        </c:rich>
      </c:tx>
      <c:layout>
        <c:manualLayout>
          <c:xMode val="edge"/>
          <c:yMode val="edge"/>
          <c:x val="0.32869665513264329"/>
          <c:y val="3.5502958579881658E-2"/>
        </c:manualLayout>
      </c:layout>
    </c:title>
    <c:plotArea>
      <c:layout>
        <c:manualLayout>
          <c:layoutTarget val="inner"/>
          <c:xMode val="edge"/>
          <c:yMode val="edge"/>
          <c:x val="0.12420020161839652"/>
          <c:y val="0.21736694155834144"/>
          <c:w val="0.71844227084071244"/>
          <c:h val="0.65450340896737025"/>
        </c:manualLayout>
      </c:layout>
      <c:barChart>
        <c:barDir val="col"/>
        <c:grouping val="clustered"/>
        <c:ser>
          <c:idx val="0"/>
          <c:order val="0"/>
          <c:tx>
            <c:strRef>
              <c:f>Pietermaritzburg!$N$60</c:f>
              <c:strCache>
                <c:ptCount val="1"/>
                <c:pt idx="0">
                  <c:v>Low</c:v>
                </c:pt>
              </c:strCache>
            </c:strRef>
          </c:tx>
          <c:val>
            <c:numRef>
              <c:f>Pietermaritzburg!$O$60</c:f>
              <c:numCache>
                <c:formatCode>"R"\ #,##0.00</c:formatCode>
                <c:ptCount val="1"/>
                <c:pt idx="0">
                  <c:v>30</c:v>
                </c:pt>
              </c:numCache>
            </c:numRef>
          </c:val>
        </c:ser>
        <c:ser>
          <c:idx val="1"/>
          <c:order val="1"/>
          <c:tx>
            <c:strRef>
              <c:f>Pietermaritzburg!$N$61</c:f>
              <c:strCache>
                <c:ptCount val="1"/>
                <c:pt idx="0">
                  <c:v>Median</c:v>
                </c:pt>
              </c:strCache>
            </c:strRef>
          </c:tx>
          <c:val>
            <c:numRef>
              <c:f>Pietermaritzburg!$O$61</c:f>
              <c:numCache>
                <c:formatCode>"R"\ #,##0.00</c:formatCode>
                <c:ptCount val="1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Pietermaritzburg!$N$62</c:f>
              <c:strCache>
                <c:ptCount val="1"/>
                <c:pt idx="0">
                  <c:v>Average</c:v>
                </c:pt>
              </c:strCache>
            </c:strRef>
          </c:tx>
          <c:val>
            <c:numRef>
              <c:f>Pietermaritzburg!$O$62</c:f>
              <c:numCache>
                <c:formatCode>0.00</c:formatCode>
                <c:ptCount val="1"/>
                <c:pt idx="0">
                  <c:v>114.07407407407408</c:v>
                </c:pt>
              </c:numCache>
            </c:numRef>
          </c:val>
        </c:ser>
        <c:ser>
          <c:idx val="3"/>
          <c:order val="3"/>
          <c:tx>
            <c:strRef>
              <c:f>Pietermaritzburg!$N$63</c:f>
              <c:strCache>
                <c:ptCount val="1"/>
                <c:pt idx="0">
                  <c:v>Three quarter</c:v>
                </c:pt>
              </c:strCache>
            </c:strRef>
          </c:tx>
          <c:val>
            <c:numRef>
              <c:f>Pietermaritzburg!$O$63</c:f>
              <c:numCache>
                <c:formatCode>General</c:formatCode>
                <c:ptCount val="1"/>
                <c:pt idx="0">
                  <c:v>150</c:v>
                </c:pt>
              </c:numCache>
            </c:numRef>
          </c:val>
        </c:ser>
        <c:ser>
          <c:idx val="4"/>
          <c:order val="4"/>
          <c:tx>
            <c:strRef>
              <c:f>Pietermaritzburg!$N$64</c:f>
              <c:strCache>
                <c:ptCount val="1"/>
                <c:pt idx="0">
                  <c:v>High</c:v>
                </c:pt>
              </c:strCache>
            </c:strRef>
          </c:tx>
          <c:val>
            <c:numRef>
              <c:f>Pietermaritzburg!$O$64</c:f>
              <c:numCache>
                <c:formatCode>0.00</c:formatCode>
                <c:ptCount val="1"/>
                <c:pt idx="0">
                  <c:v>300</c:v>
                </c:pt>
              </c:numCache>
            </c:numRef>
          </c:val>
        </c:ser>
        <c:axId val="72403968"/>
        <c:axId val="73155328"/>
      </c:barChart>
      <c:catAx>
        <c:axId val="72403968"/>
        <c:scaling>
          <c:orientation val="minMax"/>
        </c:scaling>
        <c:delete val="1"/>
        <c:axPos val="b"/>
        <c:tickLblPos val="none"/>
        <c:crossAx val="73155328"/>
        <c:crosses val="autoZero"/>
        <c:auto val="1"/>
        <c:lblAlgn val="ctr"/>
        <c:lblOffset val="100"/>
      </c:catAx>
      <c:valAx>
        <c:axId val="7315532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tickLblPos val="nextTo"/>
        <c:crossAx val="72403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495337113214951"/>
          <c:y val="0.36831446365062587"/>
          <c:w val="0.1358167244271532"/>
          <c:h val="0.43556042181117932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ZA" sz="1200"/>
              <a:t>Recovery of electronic bond instructions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2176223278672223"/>
          <c:y val="0.13015924975670176"/>
          <c:w val="0.73697670834633111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Pietermaritzburg!$P$60</c:f>
              <c:strCache>
                <c:ptCount val="1"/>
                <c:pt idx="0">
                  <c:v>Lowest who do</c:v>
                </c:pt>
              </c:strCache>
            </c:strRef>
          </c:tx>
          <c:cat>
            <c:strRef>
              <c:f>Pietermaritzburg!$Q$59:$U$59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Pietermaritzburg!$Q$60:$U$60</c:f>
              <c:numCache>
                <c:formatCode>"R"\ #,##0.00</c:formatCode>
                <c:ptCount val="5"/>
                <c:pt idx="0">
                  <c:v>82</c:v>
                </c:pt>
                <c:pt idx="1">
                  <c:v>95</c:v>
                </c:pt>
                <c:pt idx="2">
                  <c:v>82</c:v>
                </c:pt>
                <c:pt idx="3">
                  <c:v>79</c:v>
                </c:pt>
                <c:pt idx="4">
                  <c:v>95</c:v>
                </c:pt>
              </c:numCache>
            </c:numRef>
          </c:val>
        </c:ser>
        <c:ser>
          <c:idx val="1"/>
          <c:order val="1"/>
          <c:tx>
            <c:strRef>
              <c:f>Pietermaritzburg!$P$61</c:f>
              <c:strCache>
                <c:ptCount val="1"/>
                <c:pt idx="0">
                  <c:v>Average of those who do</c:v>
                </c:pt>
              </c:strCache>
            </c:strRef>
          </c:tx>
          <c:cat>
            <c:strRef>
              <c:f>Pietermaritzburg!$Q$59:$U$59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Pietermaritzburg!$Q$61:$U$61</c:f>
              <c:numCache>
                <c:formatCode>"R"\ #,##0.00</c:formatCode>
                <c:ptCount val="5"/>
                <c:pt idx="0">
                  <c:v>129.6666666666666</c:v>
                </c:pt>
                <c:pt idx="1">
                  <c:v>126.18181818181819</c:v>
                </c:pt>
                <c:pt idx="2">
                  <c:v>111.81818181818176</c:v>
                </c:pt>
                <c:pt idx="3">
                  <c:v>122.85714285714285</c:v>
                </c:pt>
                <c:pt idx="4">
                  <c:v>109</c:v>
                </c:pt>
              </c:numCache>
            </c:numRef>
          </c:val>
        </c:ser>
        <c:ser>
          <c:idx val="2"/>
          <c:order val="2"/>
          <c:tx>
            <c:strRef>
              <c:f>Pietermaritzburg!$P$62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Pietermaritzburg!$Q$59:$U$59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Pietermaritzburg!$Q$62:$U$62</c:f>
              <c:numCache>
                <c:formatCode>"R"\ #,##0.00</c:formatCode>
                <c:ptCount val="5"/>
                <c:pt idx="0">
                  <c:v>228</c:v>
                </c:pt>
                <c:pt idx="1">
                  <c:v>273</c:v>
                </c:pt>
                <c:pt idx="2">
                  <c:v>142</c:v>
                </c:pt>
                <c:pt idx="3">
                  <c:v>220</c:v>
                </c:pt>
                <c:pt idx="4">
                  <c:v>125</c:v>
                </c:pt>
              </c:numCache>
            </c:numRef>
          </c:val>
        </c:ser>
        <c:ser>
          <c:idx val="3"/>
          <c:order val="3"/>
          <c:tx>
            <c:strRef>
              <c:f>Pietermaritzburg!$P$63</c:f>
              <c:strCache>
                <c:ptCount val="1"/>
                <c:pt idx="0">
                  <c:v>% who don't</c:v>
                </c:pt>
              </c:strCache>
            </c:strRef>
          </c:tx>
          <c:cat>
            <c:strRef>
              <c:f>Pietermaritzburg!$Q$59:$U$59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Pietermaritzburg!$Q$63:$U$63</c:f>
              <c:numCache>
                <c:formatCode>0.00</c:formatCode>
                <c:ptCount val="5"/>
                <c:pt idx="0">
                  <c:v>28.571428571428569</c:v>
                </c:pt>
                <c:pt idx="1">
                  <c:v>42.105263157894726</c:v>
                </c:pt>
                <c:pt idx="2">
                  <c:v>38.888888888888893</c:v>
                </c:pt>
                <c:pt idx="3">
                  <c:v>33.333333333333329</c:v>
                </c:pt>
                <c:pt idx="4">
                  <c:v>76.923076923076906</c:v>
                </c:pt>
              </c:numCache>
            </c:numRef>
          </c:val>
        </c:ser>
        <c:axId val="73178112"/>
        <c:axId val="73184000"/>
      </c:barChart>
      <c:catAx>
        <c:axId val="73178112"/>
        <c:scaling>
          <c:orientation val="minMax"/>
        </c:scaling>
        <c:axPos val="b"/>
        <c:majorTickMark val="none"/>
        <c:tickLblPos val="nextTo"/>
        <c:crossAx val="73184000"/>
        <c:crosses val="autoZero"/>
        <c:auto val="1"/>
        <c:lblAlgn val="ctr"/>
        <c:lblOffset val="100"/>
      </c:catAx>
      <c:valAx>
        <c:axId val="7318400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majorTickMark val="none"/>
        <c:tickLblPos val="nextTo"/>
        <c:crossAx val="73178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17"/>
          <c:w val="0.12978654776586671"/>
          <c:h val="0.49156831519655697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ZA" sz="1200"/>
              <a:t>Rates clearance certificate costs</a:t>
            </a:r>
          </a:p>
        </c:rich>
      </c:tx>
      <c:layout/>
      <c:overlay val="1"/>
    </c:title>
    <c:plotArea>
      <c:layout>
        <c:manualLayout>
          <c:layoutTarget val="inner"/>
          <c:xMode val="edge"/>
          <c:yMode val="edge"/>
          <c:x val="0.13504763959299684"/>
          <c:y val="0.17075007290755317"/>
          <c:w val="0.73024916405997264"/>
          <c:h val="0.70895042286381094"/>
        </c:manualLayout>
      </c:layout>
      <c:barChart>
        <c:barDir val="col"/>
        <c:grouping val="clustered"/>
        <c:ser>
          <c:idx val="0"/>
          <c:order val="0"/>
          <c:cat>
            <c:strRef>
              <c:f>Pietermaritzburg!$O$69:$O$73</c:f>
              <c:strCache>
                <c:ptCount val="5"/>
                <c:pt idx="0">
                  <c:v>Low</c:v>
                </c:pt>
                <c:pt idx="1">
                  <c:v>Median</c:v>
                </c:pt>
                <c:pt idx="2">
                  <c:v>Average</c:v>
                </c:pt>
                <c:pt idx="3">
                  <c:v>Three quarter</c:v>
                </c:pt>
                <c:pt idx="4">
                  <c:v>High</c:v>
                </c:pt>
              </c:strCache>
            </c:strRef>
          </c:cat>
          <c:val>
            <c:numRef>
              <c:f>Pietermaritzburg!$P$69:$P$73</c:f>
              <c:numCache>
                <c:formatCode>"R"\ #,##0.00</c:formatCode>
                <c:ptCount val="5"/>
                <c:pt idx="0">
                  <c:v>85</c:v>
                </c:pt>
                <c:pt idx="1">
                  <c:v>150</c:v>
                </c:pt>
                <c:pt idx="2">
                  <c:v>220.80769230769243</c:v>
                </c:pt>
                <c:pt idx="3" formatCode="General">
                  <c:v>245</c:v>
                </c:pt>
                <c:pt idx="4" formatCode="General">
                  <c:v>640</c:v>
                </c:pt>
              </c:numCache>
            </c:numRef>
          </c:val>
        </c:ser>
        <c:axId val="73097984"/>
        <c:axId val="73099520"/>
      </c:barChart>
      <c:catAx>
        <c:axId val="73097984"/>
        <c:scaling>
          <c:orientation val="minMax"/>
        </c:scaling>
        <c:axPos val="b"/>
        <c:tickLblPos val="nextTo"/>
        <c:crossAx val="73099520"/>
        <c:crosses val="autoZero"/>
        <c:auto val="1"/>
        <c:lblAlgn val="ctr"/>
        <c:lblOffset val="100"/>
      </c:catAx>
      <c:valAx>
        <c:axId val="7309952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tickLblPos val="nextTo"/>
        <c:crossAx val="73097984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Fica cost recovery</a:t>
            </a:r>
          </a:p>
        </c:rich>
      </c:tx>
      <c:layout>
        <c:manualLayout>
          <c:xMode val="edge"/>
          <c:yMode val="edge"/>
          <c:x val="0.39357533631706615"/>
          <c:y val="4.8689138576778798E-2"/>
        </c:manualLayout>
      </c:layout>
    </c:title>
    <c:plotArea>
      <c:layout>
        <c:manualLayout>
          <c:layoutTarget val="inner"/>
          <c:xMode val="edge"/>
          <c:yMode val="edge"/>
          <c:x val="0.14203249946220903"/>
          <c:y val="0.22379220855820042"/>
          <c:w val="0.71445418981801256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Pietermaritzburg!$U$70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Pietermaritzburg!$V$69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Pietermaritzburg!$V$70</c:f>
              <c:numCache>
                <c:formatCode>"R"\ #,##0.00</c:formatCode>
                <c:ptCount val="1"/>
                <c:pt idx="0">
                  <c:v>109</c:v>
                </c:pt>
              </c:numCache>
            </c:numRef>
          </c:val>
        </c:ser>
        <c:ser>
          <c:idx val="1"/>
          <c:order val="1"/>
          <c:tx>
            <c:strRef>
              <c:f>Pietermaritzburg!$U$71</c:f>
              <c:strCache>
                <c:ptCount val="1"/>
                <c:pt idx="0">
                  <c:v>Average </c:v>
                </c:pt>
              </c:strCache>
            </c:strRef>
          </c:tx>
          <c:cat>
            <c:strRef>
              <c:f>Pietermaritzburg!$V$69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Pietermaritzburg!$V$71</c:f>
              <c:numCache>
                <c:formatCode>"R"\ #,##0.00</c:formatCode>
                <c:ptCount val="1"/>
                <c:pt idx="0">
                  <c:v>272.375</c:v>
                </c:pt>
              </c:numCache>
            </c:numRef>
          </c:val>
        </c:ser>
        <c:ser>
          <c:idx val="2"/>
          <c:order val="2"/>
          <c:tx>
            <c:strRef>
              <c:f>Pietermaritzburg!$U$72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Pietermaritzburg!$V$69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Pietermaritzburg!$V$72</c:f>
              <c:numCache>
                <c:formatCode>"R"\ #,##0.00</c:formatCode>
                <c:ptCount val="1"/>
                <c:pt idx="0">
                  <c:v>399</c:v>
                </c:pt>
              </c:numCache>
            </c:numRef>
          </c:val>
        </c:ser>
        <c:ser>
          <c:idx val="3"/>
          <c:order val="3"/>
          <c:tx>
            <c:strRef>
              <c:f>Pietermaritzburg!$U$73</c:f>
              <c:strCache>
                <c:ptCount val="1"/>
                <c:pt idx="0">
                  <c:v>% who don't</c:v>
                </c:pt>
              </c:strCache>
            </c:strRef>
          </c:tx>
          <c:dLbls>
            <c:dLblPos val="outEnd"/>
            <c:showVal val="1"/>
          </c:dLbls>
          <c:cat>
            <c:strRef>
              <c:f>Pietermaritzburg!$V$69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Pietermaritzburg!$V$73</c:f>
              <c:numCache>
                <c:formatCode>0.00</c:formatCode>
                <c:ptCount val="1"/>
                <c:pt idx="0">
                  <c:v>30.434782608695656</c:v>
                </c:pt>
              </c:numCache>
            </c:numRef>
          </c:val>
        </c:ser>
        <c:axId val="73208576"/>
        <c:axId val="73210112"/>
      </c:barChart>
      <c:catAx>
        <c:axId val="73208576"/>
        <c:scaling>
          <c:orientation val="minMax"/>
        </c:scaling>
        <c:delete val="1"/>
        <c:axPos val="b"/>
        <c:majorTickMark val="none"/>
        <c:tickLblPos val="none"/>
        <c:crossAx val="73210112"/>
        <c:crosses val="autoZero"/>
        <c:auto val="1"/>
        <c:lblAlgn val="ctr"/>
        <c:lblOffset val="100"/>
      </c:catAx>
      <c:valAx>
        <c:axId val="7321011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majorTickMark val="none"/>
        <c:tickLblPos val="nextTo"/>
        <c:crossAx val="73208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685928267374935"/>
          <c:y val="0.34905217061771032"/>
          <c:w val="0.10962720620926356"/>
          <c:h val="0.32203798054654931"/>
        </c:manualLayout>
      </c:layout>
      <c:overlay val="1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Have you increased the conveyancing tariff?</a:t>
            </a:r>
          </a:p>
        </c:rich>
      </c:tx>
      <c:layout>
        <c:manualLayout>
          <c:xMode val="edge"/>
          <c:yMode val="edge"/>
          <c:x val="0.24042221032450001"/>
          <c:y val="3.7453183520599419E-2"/>
        </c:manualLayout>
      </c:layout>
    </c:title>
    <c:plotArea>
      <c:layout>
        <c:manualLayout>
          <c:layoutTarget val="inner"/>
          <c:xMode val="edge"/>
          <c:yMode val="edge"/>
          <c:x val="0.10824872166973111"/>
          <c:y val="0.22379220855820048"/>
          <c:w val="0.74823803651050202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Pietermaritzburg!$V$50</c:f>
              <c:strCache>
                <c:ptCount val="1"/>
                <c:pt idx="0">
                  <c:v>Yes</c:v>
                </c:pt>
              </c:strCache>
            </c:strRef>
          </c:tx>
          <c:val>
            <c:numRef>
              <c:f>Pietermaritzburg!$W$50</c:f>
              <c:numCache>
                <c:formatCode>0.00</c:formatCode>
                <c:ptCount val="1"/>
                <c:pt idx="0">
                  <c:v>21.052631578947352</c:v>
                </c:pt>
              </c:numCache>
            </c:numRef>
          </c:val>
        </c:ser>
        <c:ser>
          <c:idx val="1"/>
          <c:order val="1"/>
          <c:tx>
            <c:strRef>
              <c:f>Pietermaritzburg!$V$51</c:f>
              <c:strCache>
                <c:ptCount val="1"/>
                <c:pt idx="0">
                  <c:v>No</c:v>
                </c:pt>
              </c:strCache>
            </c:strRef>
          </c:tx>
          <c:val>
            <c:numRef>
              <c:f>Pietermaritzburg!$W$51</c:f>
              <c:numCache>
                <c:formatCode>0.00</c:formatCode>
                <c:ptCount val="1"/>
                <c:pt idx="0">
                  <c:v>78.947368421052659</c:v>
                </c:pt>
              </c:numCache>
            </c:numRef>
          </c:val>
        </c:ser>
        <c:ser>
          <c:idx val="2"/>
          <c:order val="2"/>
          <c:tx>
            <c:strRef>
              <c:f>Pietermaritzburg!$V$52</c:f>
              <c:strCache>
                <c:ptCount val="1"/>
                <c:pt idx="0">
                  <c:v>% Average of those who have</c:v>
                </c:pt>
              </c:strCache>
            </c:strRef>
          </c:tx>
          <c:val>
            <c:numRef>
              <c:f>Pietermaritzburg!$W$52</c:f>
              <c:numCache>
                <c:formatCode>0.0</c:formatCode>
                <c:ptCount val="1"/>
                <c:pt idx="0">
                  <c:v>10</c:v>
                </c:pt>
              </c:numCache>
            </c:numRef>
          </c:val>
        </c:ser>
        <c:axId val="73248768"/>
        <c:axId val="73250304"/>
      </c:barChart>
      <c:catAx>
        <c:axId val="73248768"/>
        <c:scaling>
          <c:orientation val="minMax"/>
        </c:scaling>
        <c:delete val="1"/>
        <c:axPos val="b"/>
        <c:majorTickMark val="none"/>
        <c:tickLblPos val="none"/>
        <c:crossAx val="73250304"/>
        <c:crosses val="autoZero"/>
        <c:auto val="1"/>
        <c:lblAlgn val="ctr"/>
        <c:lblOffset val="100"/>
      </c:catAx>
      <c:valAx>
        <c:axId val="7325030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73248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62"/>
          <c:w val="0.12978654776586671"/>
          <c:h val="0.49156831519655736"/>
        </c:manualLayout>
      </c:layout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Do you charge a minimum fee for? …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147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Pietermaritzburg!$X$55</c:f>
              <c:strCache>
                <c:ptCount val="1"/>
                <c:pt idx="0">
                  <c:v>Yes</c:v>
                </c:pt>
              </c:strCache>
            </c:strRef>
          </c:tx>
          <c:cat>
            <c:strRef>
              <c:f>Pietermaritzburg!$Y$54:$AA$54</c:f>
              <c:strCache>
                <c:ptCount val="3"/>
                <c:pt idx="0">
                  <c:v>Bonds</c:v>
                </c:pt>
                <c:pt idx="1">
                  <c:v>Transfers</c:v>
                </c:pt>
                <c:pt idx="2">
                  <c:v>Cancellations</c:v>
                </c:pt>
              </c:strCache>
            </c:strRef>
          </c:cat>
          <c:val>
            <c:numRef>
              <c:f>Pietermaritzburg!$Y$55:$AA$55</c:f>
              <c:numCache>
                <c:formatCode>0.00</c:formatCode>
                <c:ptCount val="3"/>
                <c:pt idx="0">
                  <c:v>28.571428571428569</c:v>
                </c:pt>
                <c:pt idx="1">
                  <c:v>33.333333333333329</c:v>
                </c:pt>
                <c:pt idx="2">
                  <c:v>25</c:v>
                </c:pt>
              </c:numCache>
            </c:numRef>
          </c:val>
        </c:ser>
        <c:ser>
          <c:idx val="1"/>
          <c:order val="1"/>
          <c:tx>
            <c:strRef>
              <c:f>Pietermaritzburg!$X$56</c:f>
              <c:strCache>
                <c:ptCount val="1"/>
                <c:pt idx="0">
                  <c:v>No</c:v>
                </c:pt>
              </c:strCache>
            </c:strRef>
          </c:tx>
          <c:cat>
            <c:strRef>
              <c:f>Pietermaritzburg!$Y$54:$AA$54</c:f>
              <c:strCache>
                <c:ptCount val="3"/>
                <c:pt idx="0">
                  <c:v>Bonds</c:v>
                </c:pt>
                <c:pt idx="1">
                  <c:v>Transfers</c:v>
                </c:pt>
                <c:pt idx="2">
                  <c:v>Cancellations</c:v>
                </c:pt>
              </c:strCache>
            </c:strRef>
          </c:cat>
          <c:val>
            <c:numRef>
              <c:f>Pietermaritzburg!$Y$56:$AA$56</c:f>
              <c:numCache>
                <c:formatCode>0.00</c:formatCode>
                <c:ptCount val="3"/>
                <c:pt idx="0">
                  <c:v>71.428571428571402</c:v>
                </c:pt>
                <c:pt idx="1">
                  <c:v>66.666666666666657</c:v>
                </c:pt>
                <c:pt idx="2">
                  <c:v>75</c:v>
                </c:pt>
              </c:numCache>
            </c:numRef>
          </c:val>
        </c:ser>
        <c:axId val="73337472"/>
        <c:axId val="73351552"/>
      </c:barChart>
      <c:catAx>
        <c:axId val="73337472"/>
        <c:scaling>
          <c:orientation val="minMax"/>
        </c:scaling>
        <c:axPos val="b"/>
        <c:majorTickMark val="none"/>
        <c:tickLblPos val="nextTo"/>
        <c:crossAx val="73351552"/>
        <c:crosses val="autoZero"/>
        <c:auto val="1"/>
        <c:lblAlgn val="ctr"/>
        <c:lblOffset val="100"/>
      </c:catAx>
      <c:valAx>
        <c:axId val="7335155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73337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4"/>
          <c:w val="0.12978654776586671"/>
          <c:h val="0.49156831519655714"/>
        </c:manualLayout>
      </c:layout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Fee discounting and transactional billing mark-ups</a:t>
            </a:r>
          </a:p>
        </c:rich>
      </c:tx>
      <c:layout>
        <c:manualLayout>
          <c:xMode val="edge"/>
          <c:yMode val="edge"/>
          <c:x val="0.20905969194514934"/>
          <c:y val="2.9962546816479401E-2"/>
        </c:manualLayout>
      </c:layout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202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Pietermaritzburg!$AA$64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Pietermaritzburg!$AB$63:$AC$63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Pietermaritzburg!$AB$64:$AC$64</c:f>
              <c:numCache>
                <c:formatCode>0.00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Pietermaritzburg!$AA$65</c:f>
              <c:strCache>
                <c:ptCount val="1"/>
                <c:pt idx="0">
                  <c:v>Average </c:v>
                </c:pt>
              </c:strCache>
            </c:strRef>
          </c:tx>
          <c:cat>
            <c:strRef>
              <c:f>Pietermaritzburg!$AB$63:$AC$63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Pietermaritzburg!$AB$65:$AC$65</c:f>
              <c:numCache>
                <c:formatCode>0.00</c:formatCode>
                <c:ptCount val="2"/>
                <c:pt idx="0">
                  <c:v>17.714285714285726</c:v>
                </c:pt>
                <c:pt idx="1">
                  <c:v>9</c:v>
                </c:pt>
              </c:numCache>
            </c:numRef>
          </c:val>
        </c:ser>
        <c:ser>
          <c:idx val="2"/>
          <c:order val="2"/>
          <c:tx>
            <c:strRef>
              <c:f>Pietermaritzburg!$AA$66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Pietermaritzburg!$AB$63:$AC$63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Pietermaritzburg!$AB$66:$AC$66</c:f>
              <c:numCache>
                <c:formatCode>0.00</c:formatCode>
                <c:ptCount val="2"/>
                <c:pt idx="0">
                  <c:v>50</c:v>
                </c:pt>
                <c:pt idx="1">
                  <c:v>15</c:v>
                </c:pt>
              </c:numCache>
            </c:numRef>
          </c:val>
        </c:ser>
        <c:ser>
          <c:idx val="3"/>
          <c:order val="3"/>
          <c:tx>
            <c:strRef>
              <c:f>Pietermaritzburg!$AA$67</c:f>
              <c:strCache>
                <c:ptCount val="1"/>
                <c:pt idx="0">
                  <c:v>Don't as a %</c:v>
                </c:pt>
              </c:strCache>
            </c:strRef>
          </c:tx>
          <c:cat>
            <c:strRef>
              <c:f>Pietermaritzburg!$AB$63:$AC$63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Pietermaritzburg!$AB$67:$AC$67</c:f>
              <c:numCache>
                <c:formatCode>0.00</c:formatCode>
                <c:ptCount val="2"/>
                <c:pt idx="0">
                  <c:v>4.5454545454545459</c:v>
                </c:pt>
                <c:pt idx="1">
                  <c:v>86.363636363636331</c:v>
                </c:pt>
              </c:numCache>
            </c:numRef>
          </c:val>
        </c:ser>
        <c:axId val="73382528"/>
        <c:axId val="73392512"/>
      </c:barChart>
      <c:catAx>
        <c:axId val="73382528"/>
        <c:scaling>
          <c:orientation val="minMax"/>
        </c:scaling>
        <c:axPos val="b"/>
        <c:majorTickMark val="none"/>
        <c:tickLblPos val="nextTo"/>
        <c:crossAx val="73392512"/>
        <c:crosses val="autoZero"/>
        <c:auto val="1"/>
        <c:lblAlgn val="ctr"/>
        <c:lblOffset val="100"/>
      </c:catAx>
      <c:valAx>
        <c:axId val="7339251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ZA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73382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62"/>
          <c:w val="0.14355587295951699"/>
          <c:h val="0.27090506945058834"/>
        </c:manualLayout>
      </c:layout>
    </c:legend>
    <c:plotVisOnly val="1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6B48D250EE943178789300EA2AFE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7EEB0-041A-4895-8F98-159875181A6C}"/>
      </w:docPartPr>
      <w:docPartBody>
        <w:p w:rsidR="009D492D" w:rsidRDefault="009D492D">
          <w:r w:rsidRPr="0032284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D492D"/>
    <w:rsid w:val="000F7820"/>
    <w:rsid w:val="003F2F34"/>
    <w:rsid w:val="009D492D"/>
    <w:rsid w:val="00E62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F3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492D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9DEEF-B7A1-49E0-8F78-69902754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Bloemfontein</vt:lpstr>
    </vt:vector>
  </TitlesOfParts>
  <Company>Korbitec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Pietermaritzburg</dc:title>
  <dc:subject/>
  <dc:creator>Korbitec</dc:creator>
  <cp:keywords/>
  <dc:description/>
  <cp:lastModifiedBy>Korbitec</cp:lastModifiedBy>
  <cp:revision>9</cp:revision>
  <dcterms:created xsi:type="dcterms:W3CDTF">2010-10-13T09:00:00Z</dcterms:created>
  <dcterms:modified xsi:type="dcterms:W3CDTF">2010-10-20T15:01:00Z</dcterms:modified>
</cp:coreProperties>
</file>