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45" w:rsidRPr="00412710" w:rsidRDefault="00A00031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Port Elizabeth and East London</w:t>
      </w:r>
      <w:r w:rsidR="00412710" w:rsidRPr="00412710">
        <w:rPr>
          <w:rFonts w:ascii="Helvetica" w:hAnsi="Helvetica"/>
          <w:sz w:val="24"/>
          <w:szCs w:val="24"/>
        </w:rPr>
        <w:t xml:space="preserve"> 2010</w:t>
      </w:r>
      <w:r w:rsidR="00E87A63">
        <w:rPr>
          <w:rFonts w:ascii="Helvetica" w:hAnsi="Helvetica"/>
          <w:sz w:val="24"/>
          <w:szCs w:val="24"/>
        </w:rPr>
        <w:t xml:space="preserve"> </w:t>
      </w:r>
      <w:r w:rsidR="00B263C5" w:rsidRPr="0015060E">
        <w:rPr>
          <w:rFonts w:ascii="Helvetica" w:hAnsi="Helvetica"/>
          <w:b/>
          <w:i/>
          <w:color w:val="663399"/>
          <w:sz w:val="24"/>
          <w:szCs w:val="24"/>
        </w:rPr>
        <w:t>GhostDigest</w:t>
      </w:r>
      <w:r w:rsidR="00E87A63">
        <w:rPr>
          <w:rFonts w:ascii="Helvetica" w:hAnsi="Helvetica"/>
          <w:sz w:val="24"/>
          <w:szCs w:val="24"/>
        </w:rPr>
        <w:t xml:space="preserve"> </w:t>
      </w:r>
      <w:r w:rsidR="00412710" w:rsidRPr="00412710">
        <w:rPr>
          <w:rFonts w:ascii="Helvetica" w:hAnsi="Helvetica"/>
          <w:sz w:val="24"/>
          <w:szCs w:val="24"/>
        </w:rPr>
        <w:t>Conveyancing Survey</w:t>
      </w:r>
    </w:p>
    <w:p w:rsidR="00E77D45" w:rsidRDefault="00F25B87">
      <w:r>
        <w:t xml:space="preserve">Responses </w:t>
      </w:r>
      <w:r w:rsidR="00E87A63">
        <w:t xml:space="preserve">were received </w:t>
      </w:r>
      <w:r>
        <w:t xml:space="preserve">from </w:t>
      </w:r>
      <w:r w:rsidR="00A00031">
        <w:t>46</w:t>
      </w:r>
      <w:r w:rsidR="00424EDB">
        <w:t xml:space="preserve"> </w:t>
      </w:r>
      <w:r>
        <w:t xml:space="preserve">firms representing </w:t>
      </w:r>
      <w:r w:rsidR="00A00031">
        <w:t>67</w:t>
      </w:r>
      <w:r>
        <w:t xml:space="preserve"> conveyancers and </w:t>
      </w:r>
      <w:r w:rsidR="00A00031">
        <w:t>146</w:t>
      </w:r>
      <w:r>
        <w:t xml:space="preserve"> conveyancing secretaries.</w:t>
      </w:r>
      <w:r w:rsidR="00E202F9">
        <w:t xml:space="preserve">  The results read as follows:</w:t>
      </w:r>
    </w:p>
    <w:p w:rsidR="006F2F4C" w:rsidRDefault="006F2F4C"/>
    <w:p w:rsidR="006F2F4C" w:rsidRDefault="006F2F4C">
      <w:r>
        <w:rPr>
          <w:noProof/>
          <w:lang w:eastAsia="en-ZA"/>
        </w:rPr>
        <w:drawing>
          <wp:inline distT="0" distB="0" distL="0" distR="0">
            <wp:extent cx="5543550" cy="3262313"/>
            <wp:effectExtent l="19050" t="0" r="19050" b="0"/>
            <wp:docPr id="74" name="Chart 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F2F4C" w:rsidRDefault="006F2F4C"/>
    <w:p w:rsidR="006F2F4C" w:rsidRDefault="006F2F4C"/>
    <w:p w:rsidR="006F2F4C" w:rsidRDefault="006F2F4C">
      <w:r>
        <w:rPr>
          <w:noProof/>
          <w:lang w:eastAsia="en-ZA"/>
        </w:rPr>
        <w:drawing>
          <wp:inline distT="0" distB="0" distL="0" distR="0">
            <wp:extent cx="5543550" cy="3267075"/>
            <wp:effectExtent l="19050" t="0" r="19050" b="0"/>
            <wp:docPr id="75" name="Chart 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F2F4C" w:rsidRDefault="006F2F4C"/>
    <w:p w:rsidR="006F2F4C" w:rsidRDefault="006F2F4C">
      <w:r>
        <w:rPr>
          <w:noProof/>
          <w:lang w:eastAsia="en-ZA"/>
        </w:rPr>
        <w:lastRenderedPageBreak/>
        <w:drawing>
          <wp:inline distT="0" distB="0" distL="0" distR="0">
            <wp:extent cx="5572125" cy="3310255"/>
            <wp:effectExtent l="19050" t="0" r="9525" b="4445"/>
            <wp:docPr id="76" name="Chart 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F2F4C" w:rsidRDefault="006F2F4C"/>
    <w:p w:rsidR="006F2F4C" w:rsidRDefault="006F2F4C"/>
    <w:p w:rsidR="006F2F4C" w:rsidRDefault="006F2F4C">
      <w:r>
        <w:rPr>
          <w:noProof/>
          <w:lang w:eastAsia="en-ZA"/>
        </w:rPr>
        <w:drawing>
          <wp:inline distT="0" distB="0" distL="0" distR="0">
            <wp:extent cx="5572125" cy="3486150"/>
            <wp:effectExtent l="19050" t="0" r="9525" b="0"/>
            <wp:docPr id="77" name="Chart 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F2F4C" w:rsidRDefault="006F2F4C"/>
    <w:p w:rsidR="006F2F4C" w:rsidRDefault="006F2F4C">
      <w:r>
        <w:rPr>
          <w:noProof/>
          <w:lang w:eastAsia="en-ZA"/>
        </w:rPr>
        <w:lastRenderedPageBreak/>
        <w:drawing>
          <wp:inline distT="0" distB="0" distL="0" distR="0">
            <wp:extent cx="5553075" cy="3533775"/>
            <wp:effectExtent l="19050" t="0" r="9525" b="0"/>
            <wp:docPr id="78" name="Chart 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F2F4C" w:rsidRDefault="006F2F4C"/>
    <w:p w:rsidR="006F2F4C" w:rsidRDefault="006F2F4C">
      <w:r>
        <w:rPr>
          <w:noProof/>
          <w:lang w:eastAsia="en-ZA"/>
        </w:rPr>
        <w:drawing>
          <wp:inline distT="0" distB="0" distL="0" distR="0">
            <wp:extent cx="5553075" cy="3667125"/>
            <wp:effectExtent l="19050" t="0" r="9525" b="0"/>
            <wp:docPr id="79" name="Chart 7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F2F4C" w:rsidRDefault="006F2F4C"/>
    <w:p w:rsidR="006F2F4C" w:rsidRDefault="006F2F4C">
      <w:r>
        <w:rPr>
          <w:noProof/>
          <w:lang w:eastAsia="en-ZA"/>
        </w:rPr>
        <w:lastRenderedPageBreak/>
        <w:drawing>
          <wp:inline distT="0" distB="0" distL="0" distR="0">
            <wp:extent cx="5562600" cy="3486150"/>
            <wp:effectExtent l="19050" t="0" r="19050" b="0"/>
            <wp:docPr id="80" name="Chart 8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F2F4C" w:rsidRDefault="006F2F4C"/>
    <w:p w:rsidR="006F2F4C" w:rsidRDefault="006F2F4C"/>
    <w:p w:rsidR="006F2F4C" w:rsidRDefault="006F2F4C">
      <w:r>
        <w:rPr>
          <w:noProof/>
          <w:lang w:eastAsia="en-ZA"/>
        </w:rPr>
        <w:drawing>
          <wp:inline distT="0" distB="0" distL="0" distR="0">
            <wp:extent cx="5562600" cy="3486150"/>
            <wp:effectExtent l="19050" t="0" r="19050" b="0"/>
            <wp:docPr id="81" name="Chart 8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F2F4C" w:rsidRDefault="006F2F4C"/>
    <w:p w:rsidR="006F2F4C" w:rsidRDefault="006F2F4C">
      <w:r>
        <w:rPr>
          <w:noProof/>
          <w:lang w:eastAsia="en-ZA"/>
        </w:rPr>
        <w:lastRenderedPageBreak/>
        <w:drawing>
          <wp:inline distT="0" distB="0" distL="0" distR="0">
            <wp:extent cx="5572125" cy="3495675"/>
            <wp:effectExtent l="19050" t="0" r="9525" b="0"/>
            <wp:docPr id="82" name="Chart 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F2F4C" w:rsidRDefault="006F2F4C"/>
    <w:p w:rsidR="006F2F4C" w:rsidRDefault="006F2F4C"/>
    <w:p w:rsidR="006F2F4C" w:rsidRDefault="006F2F4C">
      <w:r>
        <w:rPr>
          <w:noProof/>
          <w:lang w:eastAsia="en-ZA"/>
        </w:rPr>
        <w:drawing>
          <wp:inline distT="0" distB="0" distL="0" distR="0">
            <wp:extent cx="5572125" cy="3486150"/>
            <wp:effectExtent l="19050" t="0" r="9525" b="0"/>
            <wp:docPr id="83" name="Chart 8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F2F4C" w:rsidRDefault="006F2F4C">
      <w:r>
        <w:rPr>
          <w:noProof/>
          <w:lang w:eastAsia="en-ZA"/>
        </w:rPr>
        <w:lastRenderedPageBreak/>
        <w:drawing>
          <wp:inline distT="0" distB="0" distL="0" distR="0">
            <wp:extent cx="5543550" cy="3267075"/>
            <wp:effectExtent l="19050" t="0" r="19050" b="0"/>
            <wp:docPr id="84" name="Chart 8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F2F4C" w:rsidRDefault="006F2F4C"/>
    <w:p w:rsidR="006F2F4C" w:rsidRDefault="006F2F4C"/>
    <w:p w:rsidR="00A00031" w:rsidRDefault="006F2F4C">
      <w:r>
        <w:rPr>
          <w:noProof/>
          <w:lang w:eastAsia="en-ZA"/>
        </w:rPr>
        <w:drawing>
          <wp:inline distT="0" distB="0" distL="0" distR="0">
            <wp:extent cx="5543550" cy="3895725"/>
            <wp:effectExtent l="19050" t="0" r="19050" b="0"/>
            <wp:docPr id="85" name="Chart 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A3862" w:rsidRDefault="00CA3862"/>
    <w:p w:rsidR="00CA3862" w:rsidRDefault="00CA3862">
      <w:r w:rsidRPr="00CA3862">
        <w:lastRenderedPageBreak/>
        <w:drawing>
          <wp:inline distT="0" distB="0" distL="0" distR="0">
            <wp:extent cx="5543550" cy="269557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CA3862" w:rsidSect="00816DB9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EDB" w:rsidRDefault="00424EDB" w:rsidP="0044524C">
      <w:pPr>
        <w:spacing w:after="0" w:line="240" w:lineRule="auto"/>
      </w:pPr>
      <w:r>
        <w:separator/>
      </w:r>
    </w:p>
  </w:endnote>
  <w:endnote w:type="continuationSeparator" w:id="0">
    <w:p w:rsidR="00424EDB" w:rsidRDefault="00424EDB" w:rsidP="0044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EDB" w:rsidRDefault="00541CA0">
    <w:pPr>
      <w:pStyle w:val="Footer"/>
    </w:pPr>
    <w:sdt>
      <w:sdtPr>
        <w:rPr>
          <w:sz w:val="20"/>
          <w:szCs w:val="20"/>
        </w:rPr>
        <w:alias w:val="Title"/>
        <w:id w:val="1692002"/>
        <w:placeholder>
          <w:docPart w:val="66B48D250EE943178789300EA2AFE0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00031">
          <w:rPr>
            <w:sz w:val="20"/>
            <w:szCs w:val="20"/>
          </w:rPr>
          <w:t>Port Elizabeth/East London</w:t>
        </w:r>
      </w:sdtContent>
    </w:sdt>
    <w:r w:rsidR="00424EDB">
      <w:tab/>
    </w:r>
    <w:sdt>
      <w:sdtPr>
        <w:id w:val="1692001"/>
        <w:docPartObj>
          <w:docPartGallery w:val="Page Numbers (Bottom of Page)"/>
          <w:docPartUnique/>
        </w:docPartObj>
      </w:sdtPr>
      <w:sdtContent>
        <w:r w:rsidRPr="00541CA0">
          <w:rPr>
            <w:noProof/>
            <w:lang w:val="en-US" w:eastAsia="zh-TW"/>
          </w:rPr>
          <w:pict>
            <v:group id="_x0000_s2049" style="position:absolute;margin-left:-75.65pt;margin-top:0;width:34.4pt;height:56.45pt;z-index:251660288;mso-position-horizontal:right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0" type="#_x0000_t32" style="position:absolute;left:2111;top:15387;width:0;height:441;flip:y" o:connectortype="straight" strokecolor="#7f7f7f [1612]"/>
              <v:rect id="_x0000_s2051" style="position:absolute;left:1743;top:14699;width:688;height:688;v-text-anchor:middle" filled="f" strokecolor="#7f7f7f [1612]">
                <v:textbox>
                  <w:txbxContent>
                    <w:p w:rsidR="00424EDB" w:rsidRDefault="00541CA0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CA3862" w:rsidRPr="00CA3862">
                          <w:rPr>
                            <w:noProof/>
                            <w:sz w:val="16"/>
                            <w:szCs w:val="16"/>
                          </w:rPr>
                          <w:t>6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EDB" w:rsidRDefault="00424EDB" w:rsidP="0044524C">
      <w:pPr>
        <w:spacing w:after="0" w:line="240" w:lineRule="auto"/>
      </w:pPr>
      <w:r>
        <w:separator/>
      </w:r>
    </w:p>
  </w:footnote>
  <w:footnote w:type="continuationSeparator" w:id="0">
    <w:p w:rsidR="00424EDB" w:rsidRDefault="00424EDB" w:rsidP="00445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77D45"/>
    <w:rsid w:val="001E20C0"/>
    <w:rsid w:val="003F3870"/>
    <w:rsid w:val="00412710"/>
    <w:rsid w:val="00424EDB"/>
    <w:rsid w:val="0044524C"/>
    <w:rsid w:val="00541CA0"/>
    <w:rsid w:val="00657CA3"/>
    <w:rsid w:val="006F2F4C"/>
    <w:rsid w:val="00816DB9"/>
    <w:rsid w:val="00877559"/>
    <w:rsid w:val="00A00031"/>
    <w:rsid w:val="00A03E4A"/>
    <w:rsid w:val="00A1008B"/>
    <w:rsid w:val="00A703CC"/>
    <w:rsid w:val="00B263C5"/>
    <w:rsid w:val="00CA3862"/>
    <w:rsid w:val="00E202F9"/>
    <w:rsid w:val="00E77D45"/>
    <w:rsid w:val="00E87A63"/>
    <w:rsid w:val="00F25B87"/>
    <w:rsid w:val="00F40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24C"/>
  </w:style>
  <w:style w:type="paragraph" w:styleId="Footer">
    <w:name w:val="footer"/>
    <w:basedOn w:val="Normal"/>
    <w:link w:val="FooterChar"/>
    <w:uiPriority w:val="99"/>
    <w:unhideWhenUsed/>
    <w:rsid w:val="00445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24C"/>
  </w:style>
  <w:style w:type="character" w:styleId="PlaceholderText">
    <w:name w:val="Placeholder Text"/>
    <w:basedOn w:val="DefaultParagraphFont"/>
    <w:uiPriority w:val="99"/>
    <w:semiHidden/>
    <w:rsid w:val="00E87A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E%20and%20East%20London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E%20and%20East%20London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E%20and%20East%20London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E%20and%20East%20London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E%20and%20East%20Londo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E%20and%20East%20Londo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E%20and%20East%20London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E%20and%20East%20London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E%20and%20East%20London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E%20and%20East%20London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E%20and%20East%20London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E%20and%20East%20London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01\Projects\GhostDigest\Survey2010\GhostDigest%20Copy\PE%20and%20East%20Londo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Number of partners in firm</a:t>
            </a:r>
          </a:p>
        </c:rich>
      </c:tx>
      <c:layout>
        <c:manualLayout>
          <c:xMode val="edge"/>
          <c:yMode val="edge"/>
          <c:x val="0.34502327452970838"/>
          <c:y val="2.0020020020020044E-2"/>
        </c:manualLayout>
      </c:layout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'PE and East London'!$B$53:$B$56</c:f>
              <c:strCache>
                <c:ptCount val="4"/>
                <c:pt idx="0">
                  <c:v>Sole Practitioner</c:v>
                </c:pt>
                <c:pt idx="1">
                  <c:v>2 to 5</c:v>
                </c:pt>
                <c:pt idx="2">
                  <c:v>6 to 10</c:v>
                </c:pt>
                <c:pt idx="3">
                  <c:v>11 to 20</c:v>
                </c:pt>
              </c:strCache>
            </c:strRef>
          </c:cat>
          <c:val>
            <c:numRef>
              <c:f>'PE and East London'!$C$53:$C$56</c:f>
              <c:numCache>
                <c:formatCode>0</c:formatCode>
                <c:ptCount val="4"/>
                <c:pt idx="0">
                  <c:v>29.545454545454547</c:v>
                </c:pt>
                <c:pt idx="1">
                  <c:v>54.54545454545454</c:v>
                </c:pt>
                <c:pt idx="2">
                  <c:v>13.636363636363635</c:v>
                </c:pt>
                <c:pt idx="3">
                  <c:v>2.2727272727272747</c:v>
                </c:pt>
              </c:numCache>
            </c:numRef>
          </c:val>
        </c:ser>
        <c:dLbls>
          <c:showPercent val="1"/>
        </c:dLbls>
        <c:firstSliceAng val="53"/>
      </c:pieChart>
    </c:plotArea>
    <c:legend>
      <c:legendPos val="r"/>
      <c:layout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matters lodged per secretary per month 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8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'PE and East London'!$AT$65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'PE and East London'!$AU$64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'PE and East London'!$AU$65</c:f>
              <c:numCache>
                <c:formatCode>0.00</c:formatCode>
                <c:ptCount val="1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'PE and East London'!$AT$66</c:f>
              <c:strCache>
                <c:ptCount val="1"/>
                <c:pt idx="0">
                  <c:v>Average</c:v>
                </c:pt>
              </c:strCache>
            </c:strRef>
          </c:tx>
          <c:cat>
            <c:strRef>
              <c:f>'PE and East London'!$AU$64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'PE and East London'!$AU$66</c:f>
              <c:numCache>
                <c:formatCode>0.00</c:formatCode>
                <c:ptCount val="1"/>
                <c:pt idx="0">
                  <c:v>11.35672514619883</c:v>
                </c:pt>
              </c:numCache>
            </c:numRef>
          </c:val>
        </c:ser>
        <c:ser>
          <c:idx val="2"/>
          <c:order val="2"/>
          <c:tx>
            <c:strRef>
              <c:f>'PE and East London'!$AT$67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'PE and East London'!$AU$64</c:f>
              <c:strCache>
                <c:ptCount val="1"/>
                <c:pt idx="0">
                  <c:v>Average matters per secretary</c:v>
                </c:pt>
              </c:strCache>
            </c:strRef>
          </c:cat>
          <c:val>
            <c:numRef>
              <c:f>'PE and East London'!$AU$67</c:f>
              <c:numCache>
                <c:formatCode>0.00</c:formatCode>
                <c:ptCount val="1"/>
                <c:pt idx="0">
                  <c:v>40</c:v>
                </c:pt>
              </c:numCache>
            </c:numRef>
          </c:val>
        </c:ser>
        <c:axId val="73348224"/>
        <c:axId val="73349760"/>
      </c:barChart>
      <c:catAx>
        <c:axId val="73348224"/>
        <c:scaling>
          <c:orientation val="minMax"/>
        </c:scaling>
        <c:delete val="1"/>
        <c:axPos val="b"/>
        <c:majorTickMark val="none"/>
        <c:tickLblPos val="none"/>
        <c:crossAx val="73349760"/>
        <c:crosses val="autoZero"/>
        <c:auto val="1"/>
        <c:lblAlgn val="ctr"/>
        <c:lblOffset val="100"/>
      </c:catAx>
      <c:valAx>
        <c:axId val="7334976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33482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301"/>
          <c:w val="0.1130956740626247"/>
          <c:h val="0.20317880208794126"/>
        </c:manualLayout>
      </c:layout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Conveyancer/Secretary ratio</a:t>
            </a:r>
          </a:p>
        </c:rich>
      </c:tx>
      <c:layout>
        <c:manualLayout>
          <c:xMode val="edge"/>
          <c:yMode val="edge"/>
          <c:x val="0.34539713023676916"/>
          <c:y val="5.1416771101810727E-2"/>
        </c:manualLayout>
      </c:layout>
      <c:overlay val="1"/>
    </c:title>
    <c:plotArea>
      <c:layout>
        <c:manualLayout>
          <c:layoutTarget val="inner"/>
          <c:xMode val="edge"/>
          <c:yMode val="edge"/>
          <c:x val="0.13970552461430125"/>
          <c:y val="0.17464866441244456"/>
          <c:w val="0.73970734908136448"/>
          <c:h val="0.79822506561679785"/>
        </c:manualLayout>
      </c:layout>
      <c:pieChart>
        <c:varyColors val="1"/>
        <c:ser>
          <c:idx val="0"/>
          <c:order val="0"/>
          <c:dLbls>
            <c:numFmt formatCode="#,##0.00" sourceLinked="0"/>
            <c:dLblPos val="inEnd"/>
            <c:showVal val="1"/>
          </c:dLbls>
          <c:cat>
            <c:strRef>
              <c:f>'PE and East London'!$AC$62:$AC$63</c:f>
              <c:strCache>
                <c:ptCount val="2"/>
                <c:pt idx="0">
                  <c:v>Conveyancers</c:v>
                </c:pt>
                <c:pt idx="1">
                  <c:v>Secretaries</c:v>
                </c:pt>
              </c:strCache>
            </c:strRef>
          </c:cat>
          <c:val>
            <c:numRef>
              <c:f>'PE and East London'!$AD$62:$AD$63</c:f>
              <c:numCache>
                <c:formatCode>General</c:formatCode>
                <c:ptCount val="2"/>
                <c:pt idx="0">
                  <c:v>1</c:v>
                </c:pt>
                <c:pt idx="1">
                  <c:v>2.1791044776119413</c:v>
                </c:pt>
              </c:numCache>
            </c:numRef>
          </c:val>
        </c:ser>
        <c:firstSliceAng val="53"/>
      </c:pieChart>
    </c:plotArea>
    <c:legend>
      <c:legendPos val="r"/>
      <c:layout/>
      <c:overlay val="1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Average salaries of secretaries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8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'PE and East London'!$AH$55</c:f>
              <c:strCache>
                <c:ptCount val="1"/>
                <c:pt idx="0">
                  <c:v>Below R5 000</c:v>
                </c:pt>
              </c:strCache>
            </c:strRef>
          </c:tx>
          <c:cat>
            <c:strRef>
              <c:f>'PE and East London'!$AI$54:$AJ$54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'PE and East London'!$AI$55:$AJ$55</c:f>
              <c:numCache>
                <c:formatCode>General</c:formatCode>
                <c:ptCount val="2"/>
                <c:pt idx="0" formatCode="0.00">
                  <c:v>3.8461538461538463</c:v>
                </c:pt>
                <c:pt idx="1">
                  <c:v>35</c:v>
                </c:pt>
              </c:numCache>
            </c:numRef>
          </c:val>
        </c:ser>
        <c:ser>
          <c:idx val="1"/>
          <c:order val="1"/>
          <c:tx>
            <c:strRef>
              <c:f>'PE and East London'!$AH$56</c:f>
              <c:strCache>
                <c:ptCount val="1"/>
                <c:pt idx="0">
                  <c:v>Between R5 000 and R10 000</c:v>
                </c:pt>
              </c:strCache>
            </c:strRef>
          </c:tx>
          <c:cat>
            <c:strRef>
              <c:f>'PE and East London'!$AI$54:$AJ$54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'PE and East London'!$AI$56:$AJ$56</c:f>
              <c:numCache>
                <c:formatCode>0.00</c:formatCode>
                <c:ptCount val="2"/>
                <c:pt idx="0">
                  <c:v>57.692307692307686</c:v>
                </c:pt>
                <c:pt idx="1">
                  <c:v>65</c:v>
                </c:pt>
              </c:numCache>
            </c:numRef>
          </c:val>
        </c:ser>
        <c:ser>
          <c:idx val="2"/>
          <c:order val="2"/>
          <c:tx>
            <c:strRef>
              <c:f>'PE and East London'!$AH$57</c:f>
              <c:strCache>
                <c:ptCount val="1"/>
                <c:pt idx="0">
                  <c:v>Between R10 000 and R20 000</c:v>
                </c:pt>
              </c:strCache>
            </c:strRef>
          </c:tx>
          <c:cat>
            <c:strRef>
              <c:f>'PE and East London'!$AI$54:$AJ$54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'PE and East London'!$AI$57:$AJ$57</c:f>
              <c:numCache>
                <c:formatCode>0.00</c:formatCode>
                <c:ptCount val="2"/>
                <c:pt idx="0">
                  <c:v>38.461538461538453</c:v>
                </c:pt>
                <c:pt idx="1">
                  <c:v>0</c:v>
                </c:pt>
              </c:numCache>
            </c:numRef>
          </c:val>
        </c:ser>
        <c:ser>
          <c:idx val="3"/>
          <c:order val="3"/>
          <c:tx>
            <c:strRef>
              <c:f>'PE and East London'!$AH$58</c:f>
              <c:strCache>
                <c:ptCount val="1"/>
                <c:pt idx="0">
                  <c:v>Above R20 000</c:v>
                </c:pt>
              </c:strCache>
            </c:strRef>
          </c:tx>
          <c:cat>
            <c:strRef>
              <c:f>'PE and East London'!$AI$54:$AJ$54</c:f>
              <c:strCache>
                <c:ptCount val="2"/>
                <c:pt idx="0">
                  <c:v>Senior Secretaries</c:v>
                </c:pt>
                <c:pt idx="1">
                  <c:v>Junior Secretaries</c:v>
                </c:pt>
              </c:strCache>
            </c:strRef>
          </c:cat>
          <c:val>
            <c:numRef>
              <c:f>'PE and East London'!$AI$58:$AJ$58</c:f>
              <c:numCache>
                <c:formatCode>General</c:formatCode>
                <c:ptCount val="2"/>
                <c:pt idx="0" formatCode="0.00">
                  <c:v>0</c:v>
                </c:pt>
                <c:pt idx="1">
                  <c:v>0</c:v>
                </c:pt>
              </c:numCache>
            </c:numRef>
          </c:val>
        </c:ser>
        <c:axId val="73534464"/>
        <c:axId val="73564928"/>
      </c:barChart>
      <c:catAx>
        <c:axId val="73534464"/>
        <c:scaling>
          <c:orientation val="minMax"/>
        </c:scaling>
        <c:axPos val="b"/>
        <c:majorTickMark val="none"/>
        <c:tickLblPos val="nextTo"/>
        <c:crossAx val="73564928"/>
        <c:crosses val="autoZero"/>
        <c:auto val="1"/>
        <c:lblAlgn val="ctr"/>
        <c:lblOffset val="100"/>
      </c:catAx>
      <c:valAx>
        <c:axId val="73564928"/>
        <c:scaling>
          <c:orientation val="minMax"/>
          <c:max val="8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35344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0000015960839902"/>
          <c:y val="0.87545621029109544"/>
          <c:w val="0.76470476613734062"/>
          <c:h val="0.11642595053452072"/>
        </c:manualLayout>
      </c:layout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Active matters per secretary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8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'PE and East London'!$AK$72</c:f>
              <c:strCache>
                <c:ptCount val="1"/>
                <c:pt idx="0">
                  <c:v>Low</c:v>
                </c:pt>
              </c:strCache>
            </c:strRef>
          </c:tx>
          <c:val>
            <c:numRef>
              <c:f>'PE and East London'!$AL$72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'PE and East London'!$AK$73</c:f>
              <c:strCache>
                <c:ptCount val="1"/>
                <c:pt idx="0">
                  <c:v>Average</c:v>
                </c:pt>
              </c:strCache>
            </c:strRef>
          </c:tx>
          <c:val>
            <c:numRef>
              <c:f>'PE and East London'!$AL$73</c:f>
              <c:numCache>
                <c:formatCode>General</c:formatCode>
                <c:ptCount val="1"/>
                <c:pt idx="0">
                  <c:v>31.2</c:v>
                </c:pt>
              </c:numCache>
            </c:numRef>
          </c:val>
        </c:ser>
        <c:ser>
          <c:idx val="2"/>
          <c:order val="2"/>
          <c:tx>
            <c:strRef>
              <c:f>'PE and East London'!$AK$74</c:f>
              <c:strCache>
                <c:ptCount val="1"/>
                <c:pt idx="0">
                  <c:v>High</c:v>
                </c:pt>
              </c:strCache>
            </c:strRef>
          </c:tx>
          <c:val>
            <c:numRef>
              <c:f>'PE and East London'!$AL$74</c:f>
              <c:numCache>
                <c:formatCode>General</c:formatCode>
                <c:ptCount val="1"/>
                <c:pt idx="0">
                  <c:v>75</c:v>
                </c:pt>
              </c:numCache>
            </c:numRef>
          </c:val>
        </c:ser>
        <c:axId val="103466112"/>
        <c:axId val="103467648"/>
      </c:barChart>
      <c:catAx>
        <c:axId val="103466112"/>
        <c:scaling>
          <c:orientation val="minMax"/>
        </c:scaling>
        <c:delete val="1"/>
        <c:axPos val="b"/>
        <c:majorTickMark val="none"/>
        <c:tickLblPos val="none"/>
        <c:crossAx val="103467648"/>
        <c:crosses val="autoZero"/>
        <c:auto val="1"/>
        <c:lblAlgn val="ctr"/>
        <c:lblOffset val="100"/>
      </c:catAx>
      <c:valAx>
        <c:axId val="10346764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103466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301"/>
          <c:w val="0.1130956740626247"/>
          <c:h val="0.20317880208794126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Postage and Petties Recovery</a:t>
            </a:r>
          </a:p>
        </c:rich>
      </c:tx>
      <c:layout>
        <c:manualLayout>
          <c:xMode val="edge"/>
          <c:yMode val="edge"/>
          <c:x val="0.3505160520632854"/>
          <c:y val="3.50318471337581E-2"/>
        </c:manualLayout>
      </c:layout>
    </c:title>
    <c:plotArea>
      <c:layout>
        <c:manualLayout>
          <c:layoutTarget val="inner"/>
          <c:xMode val="edge"/>
          <c:yMode val="edge"/>
          <c:x val="0.14456841106245347"/>
          <c:y val="0.19164351647055317"/>
          <c:w val="0.71969426797022662"/>
          <c:h val="0.67778347931227856"/>
        </c:manualLayout>
      </c:layout>
      <c:barChart>
        <c:barDir val="col"/>
        <c:grouping val="clustered"/>
        <c:ser>
          <c:idx val="0"/>
          <c:order val="0"/>
          <c:tx>
            <c:strRef>
              <c:f>'PE and East London'!$K$65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'PE and East London'!$L$64:$N$64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'PE and East London'!$L$65:$N$65</c:f>
              <c:numCache>
                <c:formatCode>General</c:formatCode>
                <c:ptCount val="3"/>
                <c:pt idx="0">
                  <c:v>75</c:v>
                </c:pt>
                <c:pt idx="1">
                  <c:v>75</c:v>
                </c:pt>
                <c:pt idx="2">
                  <c:v>50</c:v>
                </c:pt>
              </c:numCache>
            </c:numRef>
          </c:val>
        </c:ser>
        <c:ser>
          <c:idx val="1"/>
          <c:order val="1"/>
          <c:tx>
            <c:strRef>
              <c:f>'PE and East London'!$K$66</c:f>
              <c:strCache>
                <c:ptCount val="1"/>
                <c:pt idx="0">
                  <c:v>Lower 1/4</c:v>
                </c:pt>
              </c:strCache>
            </c:strRef>
          </c:tx>
          <c:cat>
            <c:strRef>
              <c:f>'PE and East London'!$L$64:$N$64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'PE and East London'!$L$66:$N$66</c:f>
              <c:numCache>
                <c:formatCode>General</c:formatCode>
                <c:ptCount val="3"/>
                <c:pt idx="0">
                  <c:v>300</c:v>
                </c:pt>
                <c:pt idx="1">
                  <c:v>288.75</c:v>
                </c:pt>
                <c:pt idx="2">
                  <c:v>146.5</c:v>
                </c:pt>
              </c:numCache>
            </c:numRef>
          </c:val>
        </c:ser>
        <c:ser>
          <c:idx val="2"/>
          <c:order val="2"/>
          <c:tx>
            <c:strRef>
              <c:f>'PE and East London'!$K$67</c:f>
              <c:strCache>
                <c:ptCount val="1"/>
                <c:pt idx="0">
                  <c:v>Median</c:v>
                </c:pt>
              </c:strCache>
            </c:strRef>
          </c:tx>
          <c:cat>
            <c:strRef>
              <c:f>'PE and East London'!$L$64:$N$64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'PE and East London'!$L$67:$N$67</c:f>
              <c:numCache>
                <c:formatCode>General</c:formatCode>
                <c:ptCount val="3"/>
                <c:pt idx="0">
                  <c:v>400</c:v>
                </c:pt>
                <c:pt idx="1">
                  <c:v>382</c:v>
                </c:pt>
                <c:pt idx="2">
                  <c:v>200</c:v>
                </c:pt>
              </c:numCache>
            </c:numRef>
          </c:val>
        </c:ser>
        <c:ser>
          <c:idx val="3"/>
          <c:order val="3"/>
          <c:tx>
            <c:strRef>
              <c:f>'PE and East London'!$K$68</c:f>
              <c:strCache>
                <c:ptCount val="1"/>
                <c:pt idx="0">
                  <c:v>Three quarter</c:v>
                </c:pt>
              </c:strCache>
            </c:strRef>
          </c:tx>
          <c:cat>
            <c:strRef>
              <c:f>'PE and East London'!$L$64:$N$64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'PE and East London'!$L$68:$N$68</c:f>
              <c:numCache>
                <c:formatCode>General</c:formatCode>
                <c:ptCount val="3"/>
                <c:pt idx="0">
                  <c:v>470.5</c:v>
                </c:pt>
                <c:pt idx="1">
                  <c:v>450</c:v>
                </c:pt>
                <c:pt idx="2">
                  <c:v>257.5</c:v>
                </c:pt>
              </c:numCache>
            </c:numRef>
          </c:val>
        </c:ser>
        <c:ser>
          <c:idx val="4"/>
          <c:order val="4"/>
          <c:tx>
            <c:strRef>
              <c:f>'PE and East London'!$K$69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'PE and East London'!$L$64:$N$64</c:f>
              <c:strCache>
                <c:ptCount val="3"/>
                <c:pt idx="0">
                  <c:v>Transfers</c:v>
                </c:pt>
                <c:pt idx="1">
                  <c:v>Bonds</c:v>
                </c:pt>
                <c:pt idx="2">
                  <c:v>Cancellations</c:v>
                </c:pt>
              </c:strCache>
            </c:strRef>
          </c:cat>
          <c:val>
            <c:numRef>
              <c:f>'PE and East London'!$L$69:$N$69</c:f>
              <c:numCache>
                <c:formatCode>General</c:formatCode>
                <c:ptCount val="3"/>
                <c:pt idx="0">
                  <c:v>670</c:v>
                </c:pt>
                <c:pt idx="1">
                  <c:v>570</c:v>
                </c:pt>
                <c:pt idx="2">
                  <c:v>500</c:v>
                </c:pt>
              </c:numCache>
            </c:numRef>
          </c:val>
        </c:ser>
        <c:axId val="22658432"/>
        <c:axId val="22668416"/>
      </c:barChart>
      <c:catAx>
        <c:axId val="2265843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22668416"/>
        <c:crosses val="autoZero"/>
        <c:auto val="1"/>
        <c:lblAlgn val="ctr"/>
        <c:lblOffset val="100"/>
        <c:tickLblSkip val="1"/>
        <c:tickMarkSkip val="1"/>
      </c:catAx>
      <c:valAx>
        <c:axId val="22668416"/>
        <c:scaling>
          <c:orientation val="minMax"/>
          <c:min val="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226584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966031553565881"/>
          <c:y val="0.37497272110649194"/>
          <c:w val="0.11647486391733217"/>
          <c:h val="0.42102834055855382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Deeds Office Search Recovery</a:t>
            </a:r>
          </a:p>
        </c:rich>
      </c:tx>
      <c:layout>
        <c:manualLayout>
          <c:xMode val="edge"/>
          <c:yMode val="edge"/>
          <c:x val="0.32869665513264346"/>
          <c:y val="3.5502958579881658E-2"/>
        </c:manualLayout>
      </c:layout>
    </c:title>
    <c:plotArea>
      <c:layout>
        <c:manualLayout>
          <c:layoutTarget val="inner"/>
          <c:xMode val="edge"/>
          <c:yMode val="edge"/>
          <c:x val="0.12420020161839652"/>
          <c:y val="0.21736694155834146"/>
          <c:w val="0.71844227084071244"/>
          <c:h val="0.65450340896737025"/>
        </c:manualLayout>
      </c:layout>
      <c:barChart>
        <c:barDir val="col"/>
        <c:grouping val="clustered"/>
        <c:ser>
          <c:idx val="0"/>
          <c:order val="0"/>
          <c:tx>
            <c:strRef>
              <c:f>'PE and East London'!$N$72</c:f>
              <c:strCache>
                <c:ptCount val="1"/>
                <c:pt idx="0">
                  <c:v>Low</c:v>
                </c:pt>
              </c:strCache>
            </c:strRef>
          </c:tx>
          <c:val>
            <c:numRef>
              <c:f>'PE and East London'!$O$72</c:f>
              <c:numCache>
                <c:formatCode>"R"\ #,##0.00</c:formatCode>
                <c:ptCount val="1"/>
                <c:pt idx="0">
                  <c:v>25</c:v>
                </c:pt>
              </c:numCache>
            </c:numRef>
          </c:val>
        </c:ser>
        <c:ser>
          <c:idx val="1"/>
          <c:order val="1"/>
          <c:tx>
            <c:strRef>
              <c:f>'PE and East London'!$N$73</c:f>
              <c:strCache>
                <c:ptCount val="1"/>
                <c:pt idx="0">
                  <c:v>Median</c:v>
                </c:pt>
              </c:strCache>
            </c:strRef>
          </c:tx>
          <c:val>
            <c:numRef>
              <c:f>'PE and East London'!$O$73</c:f>
              <c:numCache>
                <c:formatCode>"R"\ #,##0.00</c:formatCode>
                <c:ptCount val="1"/>
                <c:pt idx="0">
                  <c:v>80</c:v>
                </c:pt>
              </c:numCache>
            </c:numRef>
          </c:val>
        </c:ser>
        <c:ser>
          <c:idx val="2"/>
          <c:order val="2"/>
          <c:tx>
            <c:strRef>
              <c:f>'PE and East London'!$N$74</c:f>
              <c:strCache>
                <c:ptCount val="1"/>
                <c:pt idx="0">
                  <c:v>Average</c:v>
                </c:pt>
              </c:strCache>
            </c:strRef>
          </c:tx>
          <c:val>
            <c:numRef>
              <c:f>'PE and East London'!$O$74</c:f>
              <c:numCache>
                <c:formatCode>0.00</c:formatCode>
                <c:ptCount val="1"/>
                <c:pt idx="0">
                  <c:v>90.439024390243929</c:v>
                </c:pt>
              </c:numCache>
            </c:numRef>
          </c:val>
        </c:ser>
        <c:ser>
          <c:idx val="3"/>
          <c:order val="3"/>
          <c:tx>
            <c:strRef>
              <c:f>'PE and East London'!$N$75</c:f>
              <c:strCache>
                <c:ptCount val="1"/>
                <c:pt idx="0">
                  <c:v>Three quarter</c:v>
                </c:pt>
              </c:strCache>
            </c:strRef>
          </c:tx>
          <c:val>
            <c:numRef>
              <c:f>'PE and East London'!$O$75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4"/>
          <c:order val="4"/>
          <c:tx>
            <c:strRef>
              <c:f>'PE and East London'!$N$76</c:f>
              <c:strCache>
                <c:ptCount val="1"/>
                <c:pt idx="0">
                  <c:v>High</c:v>
                </c:pt>
              </c:strCache>
            </c:strRef>
          </c:tx>
          <c:val>
            <c:numRef>
              <c:f>'PE and East London'!$O$76</c:f>
              <c:numCache>
                <c:formatCode>0.00</c:formatCode>
                <c:ptCount val="1"/>
                <c:pt idx="0">
                  <c:v>300</c:v>
                </c:pt>
              </c:numCache>
            </c:numRef>
          </c:val>
        </c:ser>
        <c:axId val="73075712"/>
        <c:axId val="73085696"/>
      </c:barChart>
      <c:catAx>
        <c:axId val="73075712"/>
        <c:scaling>
          <c:orientation val="minMax"/>
        </c:scaling>
        <c:delete val="1"/>
        <c:axPos val="b"/>
        <c:tickLblPos val="none"/>
        <c:crossAx val="73085696"/>
        <c:crosses val="autoZero"/>
        <c:auto val="1"/>
        <c:lblAlgn val="ctr"/>
        <c:lblOffset val="100"/>
      </c:catAx>
      <c:valAx>
        <c:axId val="7308569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73075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495337113214951"/>
          <c:y val="0.36831446365062598"/>
          <c:w val="0.1358167244271532"/>
          <c:h val="0.43556042181117932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Recovery of electronic bond instructions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2176223278672225"/>
          <c:y val="0.13015924975670176"/>
          <c:w val="0.73697670834633111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'PE and East London'!$P$72</c:f>
              <c:strCache>
                <c:ptCount val="1"/>
                <c:pt idx="0">
                  <c:v>Lowest who do</c:v>
                </c:pt>
              </c:strCache>
            </c:strRef>
          </c:tx>
          <c:cat>
            <c:strRef>
              <c:f>'PE and East London'!$Q$71:$U$71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'PE and East London'!$Q$72:$U$72</c:f>
              <c:numCache>
                <c:formatCode>"R"\ #,##0.00</c:formatCode>
                <c:ptCount val="5"/>
                <c:pt idx="0">
                  <c:v>80</c:v>
                </c:pt>
                <c:pt idx="1">
                  <c:v>89</c:v>
                </c:pt>
                <c:pt idx="2">
                  <c:v>80</c:v>
                </c:pt>
                <c:pt idx="3">
                  <c:v>89</c:v>
                </c:pt>
                <c:pt idx="4">
                  <c:v>89</c:v>
                </c:pt>
              </c:numCache>
            </c:numRef>
          </c:val>
        </c:ser>
        <c:ser>
          <c:idx val="1"/>
          <c:order val="1"/>
          <c:tx>
            <c:strRef>
              <c:f>'PE and East London'!$P$73</c:f>
              <c:strCache>
                <c:ptCount val="1"/>
                <c:pt idx="0">
                  <c:v>Average of those who do</c:v>
                </c:pt>
              </c:strCache>
            </c:strRef>
          </c:tx>
          <c:cat>
            <c:strRef>
              <c:f>'PE and East London'!$Q$71:$U$71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'PE and East London'!$Q$73:$U$73</c:f>
              <c:numCache>
                <c:formatCode>"R"\ #,##0.00</c:formatCode>
                <c:ptCount val="5"/>
                <c:pt idx="0">
                  <c:v>140.69999999999999</c:v>
                </c:pt>
                <c:pt idx="1">
                  <c:v>142.5</c:v>
                </c:pt>
                <c:pt idx="2">
                  <c:v>136</c:v>
                </c:pt>
                <c:pt idx="3">
                  <c:v>130.5</c:v>
                </c:pt>
                <c:pt idx="4">
                  <c:v>119.2</c:v>
                </c:pt>
              </c:numCache>
            </c:numRef>
          </c:val>
        </c:ser>
        <c:ser>
          <c:idx val="2"/>
          <c:order val="2"/>
          <c:tx>
            <c:strRef>
              <c:f>'PE and East London'!$P$74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'PE and East London'!$Q$71:$U$71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'PE and East London'!$Q$74:$U$74</c:f>
              <c:numCache>
                <c:formatCode>"R"\ #,##0.00</c:formatCode>
                <c:ptCount val="5"/>
                <c:pt idx="0">
                  <c:v>250</c:v>
                </c:pt>
                <c:pt idx="1">
                  <c:v>250</c:v>
                </c:pt>
                <c:pt idx="2">
                  <c:v>250</c:v>
                </c:pt>
                <c:pt idx="3">
                  <c:v>250</c:v>
                </c:pt>
                <c:pt idx="4">
                  <c:v>148</c:v>
                </c:pt>
              </c:numCache>
            </c:numRef>
          </c:val>
        </c:ser>
        <c:ser>
          <c:idx val="3"/>
          <c:order val="3"/>
          <c:tx>
            <c:strRef>
              <c:f>'PE and East London'!$P$75</c:f>
              <c:strCache>
                <c:ptCount val="1"/>
                <c:pt idx="0">
                  <c:v>% who don't</c:v>
                </c:pt>
              </c:strCache>
            </c:strRef>
          </c:tx>
          <c:cat>
            <c:strRef>
              <c:f>'PE and East London'!$Q$71:$U$71</c:f>
              <c:strCache>
                <c:ptCount val="5"/>
                <c:pt idx="0">
                  <c:v>Standard Bank</c:v>
                </c:pt>
                <c:pt idx="1">
                  <c:v>Absa Bank</c:v>
                </c:pt>
                <c:pt idx="2">
                  <c:v>First National Bank</c:v>
                </c:pt>
                <c:pt idx="3">
                  <c:v>Nedbank</c:v>
                </c:pt>
                <c:pt idx="4">
                  <c:v>Other Banks</c:v>
                </c:pt>
              </c:strCache>
            </c:strRef>
          </c:cat>
          <c:val>
            <c:numRef>
              <c:f>'PE and East London'!$Q$75:$U$75</c:f>
              <c:numCache>
                <c:formatCode>0.00</c:formatCode>
                <c:ptCount val="5"/>
                <c:pt idx="0">
                  <c:v>25.925925925925917</c:v>
                </c:pt>
                <c:pt idx="1">
                  <c:v>39.130434782608695</c:v>
                </c:pt>
                <c:pt idx="2">
                  <c:v>30.434782608695656</c:v>
                </c:pt>
                <c:pt idx="3">
                  <c:v>42.85714285714284</c:v>
                </c:pt>
                <c:pt idx="4">
                  <c:v>66.666666666666657</c:v>
                </c:pt>
              </c:numCache>
            </c:numRef>
          </c:val>
        </c:ser>
        <c:axId val="73112576"/>
        <c:axId val="73114368"/>
      </c:barChart>
      <c:catAx>
        <c:axId val="73112576"/>
        <c:scaling>
          <c:orientation val="minMax"/>
        </c:scaling>
        <c:axPos val="b"/>
        <c:majorTickMark val="none"/>
        <c:tickLblPos val="nextTo"/>
        <c:crossAx val="73114368"/>
        <c:crosses val="autoZero"/>
        <c:auto val="1"/>
        <c:lblAlgn val="ctr"/>
        <c:lblOffset val="100"/>
      </c:catAx>
      <c:valAx>
        <c:axId val="7311436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73112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28"/>
          <c:w val="0.12978654776586671"/>
          <c:h val="0.49156831519655703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Rates clearance certificate costs</a:t>
            </a:r>
          </a:p>
        </c:rich>
      </c:tx>
      <c:layout/>
      <c:overlay val="1"/>
    </c:title>
    <c:plotArea>
      <c:layout>
        <c:manualLayout>
          <c:layoutTarget val="inner"/>
          <c:xMode val="edge"/>
          <c:yMode val="edge"/>
          <c:x val="0.1350476395929969"/>
          <c:y val="0.17075007290755317"/>
          <c:w val="0.73024916405997264"/>
          <c:h val="0.70895042286381105"/>
        </c:manualLayout>
      </c:layout>
      <c:barChart>
        <c:barDir val="col"/>
        <c:grouping val="clustered"/>
        <c:ser>
          <c:idx val="0"/>
          <c:order val="0"/>
          <c:cat>
            <c:strRef>
              <c:f>'PE and East London'!$O$81:$O$85</c:f>
              <c:strCache>
                <c:ptCount val="5"/>
                <c:pt idx="0">
                  <c:v>Low</c:v>
                </c:pt>
                <c:pt idx="1">
                  <c:v>Median</c:v>
                </c:pt>
                <c:pt idx="2">
                  <c:v>Average</c:v>
                </c:pt>
                <c:pt idx="3">
                  <c:v>Three quarter</c:v>
                </c:pt>
                <c:pt idx="4">
                  <c:v>High</c:v>
                </c:pt>
              </c:strCache>
            </c:strRef>
          </c:cat>
          <c:val>
            <c:numRef>
              <c:f>'PE and East London'!$P$81:$P$85</c:f>
              <c:numCache>
                <c:formatCode>"R"\ #,##0.00</c:formatCode>
                <c:ptCount val="5"/>
                <c:pt idx="0">
                  <c:v>4</c:v>
                </c:pt>
                <c:pt idx="1">
                  <c:v>80</c:v>
                </c:pt>
                <c:pt idx="2">
                  <c:v>92</c:v>
                </c:pt>
                <c:pt idx="3" formatCode="General">
                  <c:v>116</c:v>
                </c:pt>
                <c:pt idx="4" formatCode="General">
                  <c:v>202</c:v>
                </c:pt>
              </c:numCache>
            </c:numRef>
          </c:val>
        </c:ser>
        <c:axId val="73159424"/>
        <c:axId val="73160960"/>
      </c:barChart>
      <c:catAx>
        <c:axId val="73159424"/>
        <c:scaling>
          <c:orientation val="minMax"/>
        </c:scaling>
        <c:axPos val="b"/>
        <c:tickLblPos val="nextTo"/>
        <c:crossAx val="73160960"/>
        <c:crosses val="autoZero"/>
        <c:auto val="1"/>
        <c:lblAlgn val="ctr"/>
        <c:lblOffset val="100"/>
      </c:catAx>
      <c:valAx>
        <c:axId val="7316096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tickLblPos val="nextTo"/>
        <c:crossAx val="73159424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Fica cost recovery</a:t>
            </a:r>
          </a:p>
        </c:rich>
      </c:tx>
      <c:layout>
        <c:manualLayout>
          <c:xMode val="edge"/>
          <c:yMode val="edge"/>
          <c:x val="0.39357533631706626"/>
          <c:y val="4.8689138576778784E-2"/>
        </c:manualLayout>
      </c:layout>
    </c:title>
    <c:plotArea>
      <c:layout>
        <c:manualLayout>
          <c:layoutTarget val="inner"/>
          <c:xMode val="edge"/>
          <c:yMode val="edge"/>
          <c:x val="0.14203249946220908"/>
          <c:y val="0.22379220855820045"/>
          <c:w val="0.71445418981801256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'PE and East London'!$U$82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'PE and East London'!$V$81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'PE and East London'!$V$82</c:f>
              <c:numCache>
                <c:formatCode>"R"\ #,##0.00</c:formatCode>
                <c:ptCount val="1"/>
                <c:pt idx="0">
                  <c:v>40</c:v>
                </c:pt>
              </c:numCache>
            </c:numRef>
          </c:val>
        </c:ser>
        <c:ser>
          <c:idx val="1"/>
          <c:order val="1"/>
          <c:tx>
            <c:strRef>
              <c:f>'PE and East London'!$U$83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'PE and East London'!$V$81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'PE and East London'!$V$83</c:f>
              <c:numCache>
                <c:formatCode>"R"\ #,##0.00</c:formatCode>
                <c:ptCount val="1"/>
                <c:pt idx="0">
                  <c:v>265.90909090909093</c:v>
                </c:pt>
              </c:numCache>
            </c:numRef>
          </c:val>
        </c:ser>
        <c:ser>
          <c:idx val="2"/>
          <c:order val="2"/>
          <c:tx>
            <c:strRef>
              <c:f>'PE and East London'!$U$84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'PE and East London'!$V$81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'PE and East London'!$V$84</c:f>
              <c:numCache>
                <c:formatCode>"R"\ #,##0.00</c:formatCode>
                <c:ptCount val="1"/>
                <c:pt idx="0">
                  <c:v>450</c:v>
                </c:pt>
              </c:numCache>
            </c:numRef>
          </c:val>
        </c:ser>
        <c:ser>
          <c:idx val="3"/>
          <c:order val="3"/>
          <c:tx>
            <c:strRef>
              <c:f>'PE and East London'!$U$85</c:f>
              <c:strCache>
                <c:ptCount val="1"/>
                <c:pt idx="0">
                  <c:v>% who don't</c:v>
                </c:pt>
              </c:strCache>
            </c:strRef>
          </c:tx>
          <c:dLbls>
            <c:dLblPos val="outEnd"/>
            <c:showVal val="1"/>
          </c:dLbls>
          <c:cat>
            <c:strRef>
              <c:f>'PE and East London'!$V$81</c:f>
              <c:strCache>
                <c:ptCount val="1"/>
                <c:pt idx="0">
                  <c:v>Fica</c:v>
                </c:pt>
              </c:strCache>
            </c:strRef>
          </c:cat>
          <c:val>
            <c:numRef>
              <c:f>'PE and East London'!$V$85</c:f>
              <c:numCache>
                <c:formatCode>0.00</c:formatCode>
                <c:ptCount val="1"/>
                <c:pt idx="0">
                  <c:v>31.25</c:v>
                </c:pt>
              </c:numCache>
            </c:numRef>
          </c:val>
        </c:ser>
        <c:axId val="73204480"/>
        <c:axId val="73206016"/>
      </c:barChart>
      <c:catAx>
        <c:axId val="73204480"/>
        <c:scaling>
          <c:orientation val="minMax"/>
        </c:scaling>
        <c:delete val="1"/>
        <c:axPos val="b"/>
        <c:majorTickMark val="none"/>
        <c:tickLblPos val="none"/>
        <c:crossAx val="73206016"/>
        <c:crosses val="autoZero"/>
        <c:auto val="1"/>
        <c:lblAlgn val="ctr"/>
        <c:lblOffset val="100"/>
      </c:catAx>
      <c:valAx>
        <c:axId val="7320601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Amount R</a:t>
                </a:r>
              </a:p>
            </c:rich>
          </c:tx>
          <c:layout/>
        </c:title>
        <c:numFmt formatCode="#,##0.00" sourceLinked="0"/>
        <c:majorTickMark val="none"/>
        <c:tickLblPos val="nextTo"/>
        <c:crossAx val="73204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685928267374957"/>
          <c:y val="0.34905217061771032"/>
          <c:w val="0.10962720620926357"/>
          <c:h val="0.32203798054654931"/>
        </c:manualLayout>
      </c:layout>
      <c:overlay val="1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Have you increased the conveyancing tariff?</a:t>
            </a:r>
          </a:p>
        </c:rich>
      </c:tx>
      <c:layout>
        <c:manualLayout>
          <c:xMode val="edge"/>
          <c:yMode val="edge"/>
          <c:x val="0.24042221032450001"/>
          <c:y val="3.7453183520599426E-2"/>
        </c:manualLayout>
      </c:layout>
    </c:title>
    <c:plotArea>
      <c:layout>
        <c:manualLayout>
          <c:layoutTarget val="inner"/>
          <c:xMode val="edge"/>
          <c:yMode val="edge"/>
          <c:x val="0.10824872166973112"/>
          <c:y val="0.22379220855820051"/>
          <c:w val="0.74823803651050225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'PE and East London'!$V$62</c:f>
              <c:strCache>
                <c:ptCount val="1"/>
                <c:pt idx="0">
                  <c:v>Yes</c:v>
                </c:pt>
              </c:strCache>
            </c:strRef>
          </c:tx>
          <c:val>
            <c:numRef>
              <c:f>'PE and East London'!$W$62</c:f>
              <c:numCache>
                <c:formatCode>0.00</c:formatCode>
                <c:ptCount val="1"/>
                <c:pt idx="0">
                  <c:v>30.303030303030297</c:v>
                </c:pt>
              </c:numCache>
            </c:numRef>
          </c:val>
        </c:ser>
        <c:ser>
          <c:idx val="1"/>
          <c:order val="1"/>
          <c:tx>
            <c:strRef>
              <c:f>'PE and East London'!$V$63</c:f>
              <c:strCache>
                <c:ptCount val="1"/>
                <c:pt idx="0">
                  <c:v>No</c:v>
                </c:pt>
              </c:strCache>
            </c:strRef>
          </c:tx>
          <c:val>
            <c:numRef>
              <c:f>'PE and East London'!$W$63</c:f>
              <c:numCache>
                <c:formatCode>0.00</c:formatCode>
                <c:ptCount val="1"/>
                <c:pt idx="0">
                  <c:v>69.696969696969703</c:v>
                </c:pt>
              </c:numCache>
            </c:numRef>
          </c:val>
        </c:ser>
        <c:ser>
          <c:idx val="2"/>
          <c:order val="2"/>
          <c:tx>
            <c:strRef>
              <c:f>'PE and East London'!$V$64</c:f>
              <c:strCache>
                <c:ptCount val="1"/>
                <c:pt idx="0">
                  <c:v>% Average of those who have</c:v>
                </c:pt>
              </c:strCache>
            </c:strRef>
          </c:tx>
          <c:val>
            <c:numRef>
              <c:f>'PE and East London'!$W$64</c:f>
              <c:numCache>
                <c:formatCode>0.0</c:formatCode>
                <c:ptCount val="1"/>
                <c:pt idx="0">
                  <c:v>8.3333333333333357</c:v>
                </c:pt>
              </c:numCache>
            </c:numRef>
          </c:val>
        </c:ser>
        <c:axId val="73245056"/>
        <c:axId val="73246592"/>
      </c:barChart>
      <c:catAx>
        <c:axId val="73245056"/>
        <c:scaling>
          <c:orientation val="minMax"/>
        </c:scaling>
        <c:delete val="1"/>
        <c:axPos val="b"/>
        <c:majorTickMark val="none"/>
        <c:tickLblPos val="none"/>
        <c:crossAx val="73246592"/>
        <c:crosses val="autoZero"/>
        <c:auto val="1"/>
        <c:lblAlgn val="ctr"/>
        <c:lblOffset val="100"/>
      </c:catAx>
      <c:valAx>
        <c:axId val="7324659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32450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73"/>
          <c:w val="0.12978654776586671"/>
          <c:h val="0.49156831519655741"/>
        </c:manualLayout>
      </c:layout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Do you charge a minimum fee for? …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18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'PE and East London'!$X$67</c:f>
              <c:strCache>
                <c:ptCount val="1"/>
                <c:pt idx="0">
                  <c:v>Yes</c:v>
                </c:pt>
              </c:strCache>
            </c:strRef>
          </c:tx>
          <c:cat>
            <c:strRef>
              <c:f>'PE and East London'!$Y$66:$AA$66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'PE and East London'!$Y$67:$AA$67</c:f>
              <c:numCache>
                <c:formatCode>0.00</c:formatCode>
                <c:ptCount val="3"/>
                <c:pt idx="0">
                  <c:v>60.714285714285708</c:v>
                </c:pt>
                <c:pt idx="1">
                  <c:v>63.333333333333329</c:v>
                </c:pt>
                <c:pt idx="2">
                  <c:v>60.714285714285708</c:v>
                </c:pt>
              </c:numCache>
            </c:numRef>
          </c:val>
        </c:ser>
        <c:ser>
          <c:idx val="1"/>
          <c:order val="1"/>
          <c:tx>
            <c:strRef>
              <c:f>'PE and East London'!$X$68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'PE and East London'!$Y$66:$AA$66</c:f>
              <c:strCache>
                <c:ptCount val="3"/>
                <c:pt idx="0">
                  <c:v>Bonds</c:v>
                </c:pt>
                <c:pt idx="1">
                  <c:v>Transfers</c:v>
                </c:pt>
                <c:pt idx="2">
                  <c:v>Cancellations</c:v>
                </c:pt>
              </c:strCache>
            </c:strRef>
          </c:cat>
          <c:val>
            <c:numRef>
              <c:f>'PE and East London'!$Y$68:$AA$68</c:f>
              <c:numCache>
                <c:formatCode>0.00</c:formatCode>
                <c:ptCount val="3"/>
                <c:pt idx="0">
                  <c:v>39.285714285714285</c:v>
                </c:pt>
                <c:pt idx="1">
                  <c:v>36.666666666666636</c:v>
                </c:pt>
                <c:pt idx="2">
                  <c:v>39.285714285714285</c:v>
                </c:pt>
              </c:numCache>
            </c:numRef>
          </c:val>
        </c:ser>
        <c:axId val="73263744"/>
        <c:axId val="73277824"/>
      </c:barChart>
      <c:catAx>
        <c:axId val="73263744"/>
        <c:scaling>
          <c:orientation val="minMax"/>
        </c:scaling>
        <c:axPos val="b"/>
        <c:majorTickMark val="none"/>
        <c:tickLblPos val="nextTo"/>
        <c:crossAx val="73277824"/>
        <c:crosses val="autoZero"/>
        <c:auto val="1"/>
        <c:lblAlgn val="ctr"/>
        <c:lblOffset val="100"/>
      </c:catAx>
      <c:valAx>
        <c:axId val="7327782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32637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51"/>
          <c:w val="0.12978654776586671"/>
          <c:h val="0.49156831519655725"/>
        </c:manualLayout>
      </c:layout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style val="26"/>
  <c:chart>
    <c:title>
      <c:tx>
        <c:rich>
          <a:bodyPr/>
          <a:lstStyle/>
          <a:p>
            <a:pPr>
              <a:defRPr/>
            </a:pPr>
            <a:r>
              <a:rPr lang="en-US" sz="1200"/>
              <a:t>Fee discounting and transactional billing mark-ups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1050094641784236"/>
          <c:y val="0.13015924975670176"/>
          <c:w val="0.74823803651050225"/>
          <c:h val="0.65676634521808375"/>
        </c:manualLayout>
      </c:layout>
      <c:barChart>
        <c:barDir val="col"/>
        <c:grouping val="clustered"/>
        <c:ser>
          <c:idx val="0"/>
          <c:order val="0"/>
          <c:tx>
            <c:strRef>
              <c:f>'PE and East London'!$AA$76</c:f>
              <c:strCache>
                <c:ptCount val="1"/>
                <c:pt idx="0">
                  <c:v>Low</c:v>
                </c:pt>
              </c:strCache>
            </c:strRef>
          </c:tx>
          <c:cat>
            <c:strRef>
              <c:f>'PE and East London'!$AB$75:$AC$75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'PE and East London'!$AB$76:$AC$76</c:f>
              <c:numCache>
                <c:formatCode>0.00</c:formatCode>
                <c:ptCount val="2"/>
                <c:pt idx="0">
                  <c:v>10</c:v>
                </c:pt>
                <c:pt idx="1">
                  <c:v>10</c:v>
                </c:pt>
              </c:numCache>
            </c:numRef>
          </c:val>
        </c:ser>
        <c:ser>
          <c:idx val="1"/>
          <c:order val="1"/>
          <c:tx>
            <c:strRef>
              <c:f>'PE and East London'!$AA$77</c:f>
              <c:strCache>
                <c:ptCount val="1"/>
                <c:pt idx="0">
                  <c:v>Average </c:v>
                </c:pt>
              </c:strCache>
            </c:strRef>
          </c:tx>
          <c:cat>
            <c:strRef>
              <c:f>'PE and East London'!$AB$75:$AC$75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'PE and East London'!$AB$77:$AC$77</c:f>
              <c:numCache>
                <c:formatCode>0.00</c:formatCode>
                <c:ptCount val="2"/>
                <c:pt idx="0">
                  <c:v>16.03448275862069</c:v>
                </c:pt>
                <c:pt idx="1">
                  <c:v>25</c:v>
                </c:pt>
              </c:numCache>
            </c:numRef>
          </c:val>
        </c:ser>
        <c:ser>
          <c:idx val="2"/>
          <c:order val="2"/>
          <c:tx>
            <c:strRef>
              <c:f>'PE and East London'!$AA$78</c:f>
              <c:strCache>
                <c:ptCount val="1"/>
                <c:pt idx="0">
                  <c:v>High</c:v>
                </c:pt>
              </c:strCache>
            </c:strRef>
          </c:tx>
          <c:cat>
            <c:strRef>
              <c:f>'PE and East London'!$AB$75:$AC$75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'PE and East London'!$AB$78:$AC$78</c:f>
              <c:numCache>
                <c:formatCode>0.00</c:formatCode>
                <c:ptCount val="2"/>
                <c:pt idx="0">
                  <c:v>25</c:v>
                </c:pt>
                <c:pt idx="1">
                  <c:v>40</c:v>
                </c:pt>
              </c:numCache>
            </c:numRef>
          </c:val>
        </c:ser>
        <c:ser>
          <c:idx val="3"/>
          <c:order val="3"/>
          <c:tx>
            <c:strRef>
              <c:f>'PE and East London'!$AA$79</c:f>
              <c:strCache>
                <c:ptCount val="1"/>
                <c:pt idx="0">
                  <c:v>Don't as a %</c:v>
                </c:pt>
              </c:strCache>
            </c:strRef>
          </c:tx>
          <c:cat>
            <c:strRef>
              <c:f>'PE and East London'!$AB$75:$AC$75</c:f>
              <c:strCache>
                <c:ptCount val="2"/>
                <c:pt idx="0">
                  <c:v>Fee discount</c:v>
                </c:pt>
                <c:pt idx="1">
                  <c:v>Markup on transactional billing</c:v>
                </c:pt>
              </c:strCache>
            </c:strRef>
          </c:cat>
          <c:val>
            <c:numRef>
              <c:f>'PE and East London'!$AB$79:$AC$79</c:f>
              <c:numCache>
                <c:formatCode>0.00</c:formatCode>
                <c:ptCount val="2"/>
                <c:pt idx="0">
                  <c:v>3.3333333333333335</c:v>
                </c:pt>
                <c:pt idx="1">
                  <c:v>92.307692307692278</c:v>
                </c:pt>
              </c:numCache>
            </c:numRef>
          </c:val>
        </c:ser>
        <c:axId val="73316608"/>
        <c:axId val="73322496"/>
      </c:barChart>
      <c:catAx>
        <c:axId val="73316608"/>
        <c:scaling>
          <c:orientation val="minMax"/>
        </c:scaling>
        <c:axPos val="b"/>
        <c:majorTickMark val="none"/>
        <c:tickLblPos val="nextTo"/>
        <c:crossAx val="73322496"/>
        <c:crosses val="autoZero"/>
        <c:auto val="1"/>
        <c:lblAlgn val="ctr"/>
        <c:lblOffset val="100"/>
      </c:catAx>
      <c:valAx>
        <c:axId val="7332249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Percentage</a:t>
                </a:r>
              </a:p>
            </c:rich>
          </c:tx>
          <c:layout/>
        </c:title>
        <c:numFmt formatCode="0" sourceLinked="0"/>
        <c:majorTickMark val="none"/>
        <c:tickLblPos val="nextTo"/>
        <c:crossAx val="73316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44408906717984"/>
          <c:y val="0.34532071131558273"/>
          <c:w val="0.14355587295951694"/>
          <c:h val="0.27090506945058834"/>
        </c:manualLayout>
      </c:layout>
    </c:legend>
    <c:plotVisOnly val="1"/>
  </c:chart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6B48D250EE943178789300EA2AFE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7EEB0-041A-4895-8F98-159875181A6C}"/>
      </w:docPartPr>
      <w:docPartBody>
        <w:p w:rsidR="009D492D" w:rsidRDefault="009D492D">
          <w:r w:rsidRPr="0032284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D492D"/>
    <w:rsid w:val="00320348"/>
    <w:rsid w:val="003F2F34"/>
    <w:rsid w:val="009D492D"/>
    <w:rsid w:val="00B43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3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492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29332-4794-4FC5-948C-2B2262AD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Bloemfontein</vt:lpstr>
    </vt:vector>
  </TitlesOfParts>
  <Company>Korbitec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Elizabeth/East London</dc:title>
  <dc:subject/>
  <dc:creator>Korbitec</dc:creator>
  <cp:keywords/>
  <dc:description/>
  <cp:lastModifiedBy>Korbitec</cp:lastModifiedBy>
  <cp:revision>7</cp:revision>
  <dcterms:created xsi:type="dcterms:W3CDTF">2010-10-13T08:50:00Z</dcterms:created>
  <dcterms:modified xsi:type="dcterms:W3CDTF">2010-10-20T14:47:00Z</dcterms:modified>
</cp:coreProperties>
</file>