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8B4" w:rsidRDefault="000038B4" w:rsidP="000C5269">
      <w:pPr>
        <w:spacing w:after="0" w:line="360" w:lineRule="auto"/>
        <w:jc w:val="both"/>
        <w:rPr>
          <w:rFonts w:ascii="Arial" w:hAnsi="Arial" w:cs="Arial"/>
          <w:b/>
          <w:sz w:val="24"/>
          <w:szCs w:val="24"/>
        </w:rPr>
      </w:pPr>
    </w:p>
    <w:p w:rsidR="000038B4" w:rsidRPr="000E6422" w:rsidRDefault="000038B4" w:rsidP="00635112">
      <w:pPr>
        <w:pStyle w:val="Pa3"/>
        <w:jc w:val="center"/>
        <w:rPr>
          <w:rStyle w:val="A0"/>
          <w:rFonts w:cs="Arial"/>
          <w:b w:val="0"/>
        </w:rPr>
      </w:pPr>
      <w:bookmarkStart w:id="0" w:name="OLE_LINK1"/>
      <w:r w:rsidRPr="00D83EF2">
        <w:rPr>
          <w:rFonts w:cs="Arial"/>
          <w:noProof/>
          <w:color w:val="221E1F"/>
          <w:sz w:val="20"/>
          <w:lang w:val="en-ZA" w:eastAsia="en-Z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50.25pt;height:1in;visibility:visible">
            <v:imagedata r:id="rId6" o:title=""/>
          </v:shape>
        </w:pict>
      </w:r>
    </w:p>
    <w:p w:rsidR="000038B4" w:rsidRPr="00A72993" w:rsidRDefault="000038B4" w:rsidP="00635112">
      <w:pPr>
        <w:pStyle w:val="Pa3"/>
        <w:jc w:val="center"/>
        <w:rPr>
          <w:rStyle w:val="A0"/>
          <w:rFonts w:cs="Arial"/>
          <w:b w:val="0"/>
        </w:rPr>
      </w:pPr>
    </w:p>
    <w:p w:rsidR="000038B4" w:rsidRPr="0081100A" w:rsidRDefault="000038B4" w:rsidP="00635112">
      <w:pPr>
        <w:pStyle w:val="Pa3"/>
        <w:spacing w:line="360" w:lineRule="auto"/>
        <w:jc w:val="center"/>
        <w:rPr>
          <w:rStyle w:val="A0"/>
          <w:rFonts w:cs="Arial"/>
          <w:bCs/>
          <w:sz w:val="24"/>
        </w:rPr>
      </w:pPr>
      <w:r w:rsidRPr="0081100A">
        <w:rPr>
          <w:rStyle w:val="A0"/>
          <w:rFonts w:cs="Arial"/>
          <w:sz w:val="24"/>
        </w:rPr>
        <w:t xml:space="preserve">THE SUPREME COURT OF APPEAL </w:t>
      </w:r>
      <w:r w:rsidRPr="0081100A">
        <w:rPr>
          <w:rStyle w:val="A0"/>
          <w:rFonts w:cs="Arial"/>
          <w:bCs/>
          <w:sz w:val="24"/>
        </w:rPr>
        <w:t xml:space="preserve">OF </w:t>
      </w:r>
      <w:smartTag w:uri="urn:schemas-microsoft-com:office:smarttags" w:element="place">
        <w:smartTag w:uri="urn:schemas-microsoft-com:office:smarttags" w:element="country-region">
          <w:r w:rsidRPr="0081100A">
            <w:rPr>
              <w:rStyle w:val="A0"/>
              <w:rFonts w:cs="Arial"/>
              <w:bCs/>
              <w:sz w:val="24"/>
            </w:rPr>
            <w:t>SOUTH AFRICA</w:t>
          </w:r>
        </w:smartTag>
      </w:smartTag>
      <w:r w:rsidRPr="0081100A">
        <w:rPr>
          <w:rStyle w:val="A0"/>
          <w:rFonts w:cs="Arial"/>
          <w:bCs/>
          <w:sz w:val="24"/>
        </w:rPr>
        <w:t xml:space="preserve"> </w:t>
      </w:r>
    </w:p>
    <w:p w:rsidR="000038B4" w:rsidRPr="001A2347" w:rsidRDefault="000038B4" w:rsidP="001A2347">
      <w:pPr>
        <w:spacing w:line="360" w:lineRule="auto"/>
        <w:jc w:val="center"/>
        <w:rPr>
          <w:rFonts w:ascii="Arial" w:hAnsi="Arial" w:cs="Arial"/>
          <w:b/>
          <w:sz w:val="24"/>
          <w:szCs w:val="24"/>
        </w:rPr>
      </w:pPr>
      <w:r w:rsidRPr="0081100A">
        <w:rPr>
          <w:rFonts w:ascii="Arial" w:hAnsi="Arial" w:cs="Arial"/>
          <w:b/>
          <w:sz w:val="24"/>
          <w:szCs w:val="24"/>
        </w:rPr>
        <w:t>JUDGMENT</w:t>
      </w:r>
      <w:bookmarkEnd w:id="0"/>
    </w:p>
    <w:p w:rsidR="000038B4" w:rsidRPr="00563486" w:rsidRDefault="000038B4" w:rsidP="00DD766A">
      <w:pPr>
        <w:widowControl w:val="0"/>
        <w:autoSpaceDE w:val="0"/>
        <w:autoSpaceDN w:val="0"/>
        <w:adjustRightInd w:val="0"/>
        <w:ind w:left="7200"/>
        <w:rPr>
          <w:rFonts w:ascii="Arial" w:hAnsi="Arial" w:cs="Arial"/>
          <w:sz w:val="24"/>
        </w:rPr>
      </w:pPr>
      <w:r>
        <w:rPr>
          <w:rFonts w:ascii="Arial" w:hAnsi="Arial" w:cs="Arial"/>
          <w:sz w:val="24"/>
        </w:rPr>
        <w:t xml:space="preserve">                                                                                                            REPORTABLE</w:t>
      </w:r>
    </w:p>
    <w:p w:rsidR="000038B4" w:rsidRPr="00563486" w:rsidRDefault="00305D49" w:rsidP="00635112">
      <w:pPr>
        <w:tabs>
          <w:tab w:val="right" w:pos="8900"/>
        </w:tabs>
        <w:ind w:right="-328"/>
        <w:jc w:val="both"/>
        <w:rPr>
          <w:rFonts w:ascii="Arial" w:hAnsi="Arial" w:cs="Arial"/>
          <w:sz w:val="24"/>
        </w:rPr>
      </w:pPr>
      <w:r>
        <w:rPr>
          <w:rFonts w:ascii="Arial" w:hAnsi="Arial" w:cs="Arial"/>
          <w:sz w:val="24"/>
        </w:rPr>
        <w:tab/>
        <w:t>Case No: 686/12</w:t>
      </w:r>
    </w:p>
    <w:p w:rsidR="000038B4" w:rsidRPr="00563486" w:rsidRDefault="000038B4" w:rsidP="001A2347">
      <w:pPr>
        <w:spacing w:after="0"/>
        <w:ind w:right="-329"/>
        <w:jc w:val="both"/>
        <w:rPr>
          <w:rFonts w:ascii="Arial" w:hAnsi="Arial" w:cs="Arial"/>
          <w:bCs/>
          <w:sz w:val="24"/>
        </w:rPr>
      </w:pPr>
      <w:r w:rsidRPr="00563486">
        <w:rPr>
          <w:rFonts w:ascii="Arial" w:hAnsi="Arial" w:cs="Arial"/>
          <w:bCs/>
          <w:sz w:val="24"/>
        </w:rPr>
        <w:t>In the matter between:</w:t>
      </w:r>
    </w:p>
    <w:p w:rsidR="00305D49" w:rsidRDefault="00305D49" w:rsidP="001A2347">
      <w:pPr>
        <w:tabs>
          <w:tab w:val="right" w:pos="8900"/>
        </w:tabs>
        <w:spacing w:after="0"/>
        <w:ind w:right="-329"/>
        <w:jc w:val="both"/>
        <w:rPr>
          <w:rFonts w:ascii="Arial" w:hAnsi="Arial" w:cs="Arial"/>
          <w:b/>
          <w:sz w:val="24"/>
        </w:rPr>
      </w:pPr>
    </w:p>
    <w:p w:rsidR="000038B4" w:rsidRPr="00305D49" w:rsidRDefault="00305D49" w:rsidP="001A2347">
      <w:pPr>
        <w:tabs>
          <w:tab w:val="right" w:pos="8900"/>
        </w:tabs>
        <w:spacing w:after="0"/>
        <w:ind w:right="-329"/>
        <w:jc w:val="both"/>
        <w:rPr>
          <w:rFonts w:ascii="Arial" w:hAnsi="Arial" w:cs="Arial"/>
          <w:b/>
          <w:sz w:val="24"/>
        </w:rPr>
      </w:pPr>
      <w:r>
        <w:rPr>
          <w:rFonts w:ascii="Arial" w:hAnsi="Arial" w:cs="Arial"/>
          <w:b/>
          <w:sz w:val="24"/>
        </w:rPr>
        <w:t>NEDBANK LIMITED</w:t>
      </w:r>
      <w:r>
        <w:rPr>
          <w:rFonts w:ascii="Arial" w:hAnsi="Arial" w:cs="Arial"/>
          <w:sz w:val="24"/>
        </w:rPr>
        <w:tab/>
        <w:t xml:space="preserve"> </w:t>
      </w:r>
      <w:r>
        <w:rPr>
          <w:rFonts w:ascii="Arial" w:hAnsi="Arial" w:cs="Arial"/>
          <w:b/>
          <w:sz w:val="24"/>
        </w:rPr>
        <w:t>APPELLANT</w:t>
      </w:r>
    </w:p>
    <w:p w:rsidR="000038B4" w:rsidRPr="00563486" w:rsidRDefault="000038B4" w:rsidP="001A2347">
      <w:pPr>
        <w:tabs>
          <w:tab w:val="right" w:pos="8900"/>
        </w:tabs>
        <w:spacing w:after="0"/>
        <w:ind w:right="-329"/>
        <w:jc w:val="both"/>
        <w:rPr>
          <w:rFonts w:ascii="Arial" w:hAnsi="Arial" w:cs="Arial"/>
          <w:sz w:val="24"/>
        </w:rPr>
      </w:pPr>
    </w:p>
    <w:p w:rsidR="000038B4" w:rsidRPr="00563486" w:rsidRDefault="000038B4" w:rsidP="001A2347">
      <w:pPr>
        <w:tabs>
          <w:tab w:val="right" w:pos="8900"/>
        </w:tabs>
        <w:spacing w:after="0"/>
        <w:ind w:right="-329"/>
        <w:jc w:val="both"/>
        <w:rPr>
          <w:rFonts w:ascii="Arial" w:hAnsi="Arial" w:cs="Arial"/>
          <w:sz w:val="24"/>
        </w:rPr>
      </w:pPr>
      <w:proofErr w:type="gramStart"/>
      <w:r w:rsidRPr="00563486">
        <w:rPr>
          <w:rFonts w:ascii="Arial" w:hAnsi="Arial" w:cs="Arial"/>
          <w:sz w:val="24"/>
        </w:rPr>
        <w:t>and</w:t>
      </w:r>
      <w:proofErr w:type="gramEnd"/>
    </w:p>
    <w:p w:rsidR="000038B4" w:rsidRPr="00563486" w:rsidRDefault="000038B4" w:rsidP="001A2347">
      <w:pPr>
        <w:tabs>
          <w:tab w:val="right" w:pos="8900"/>
        </w:tabs>
        <w:spacing w:after="0"/>
        <w:ind w:right="-329"/>
        <w:jc w:val="both"/>
        <w:rPr>
          <w:rFonts w:ascii="Arial" w:hAnsi="Arial" w:cs="Arial"/>
          <w:sz w:val="24"/>
        </w:rPr>
      </w:pPr>
    </w:p>
    <w:p w:rsidR="000038B4" w:rsidRPr="00563486" w:rsidRDefault="00E002D2" w:rsidP="001A2347">
      <w:pPr>
        <w:tabs>
          <w:tab w:val="right" w:pos="8900"/>
        </w:tabs>
        <w:spacing w:after="120" w:line="240" w:lineRule="auto"/>
        <w:ind w:right="-329"/>
        <w:jc w:val="both"/>
        <w:rPr>
          <w:rFonts w:ascii="Arial" w:hAnsi="Arial" w:cs="Arial"/>
          <w:sz w:val="24"/>
        </w:rPr>
      </w:pPr>
      <w:r>
        <w:rPr>
          <w:rFonts w:ascii="Arial" w:hAnsi="Arial" w:cs="Arial"/>
          <w:b/>
          <w:sz w:val="24"/>
        </w:rPr>
        <w:t>RONALD MENDELOW</w:t>
      </w:r>
      <w:r w:rsidR="00305D49">
        <w:rPr>
          <w:rFonts w:ascii="Arial" w:hAnsi="Arial" w:cs="Arial"/>
          <w:b/>
          <w:sz w:val="24"/>
        </w:rPr>
        <w:t xml:space="preserve"> NO</w:t>
      </w:r>
      <w:r w:rsidR="000038B4" w:rsidRPr="00563486">
        <w:rPr>
          <w:rFonts w:ascii="Arial" w:hAnsi="Arial" w:cs="Arial"/>
          <w:sz w:val="24"/>
        </w:rPr>
        <w:tab/>
      </w:r>
      <w:r w:rsidR="00305D49">
        <w:rPr>
          <w:rFonts w:ascii="Arial" w:hAnsi="Arial" w:cs="Arial"/>
          <w:b/>
          <w:sz w:val="24"/>
        </w:rPr>
        <w:t>FIRST RESPONDENT</w:t>
      </w:r>
    </w:p>
    <w:p w:rsidR="000038B4" w:rsidRPr="00305D49" w:rsidRDefault="00E002D2" w:rsidP="001A2347">
      <w:pPr>
        <w:tabs>
          <w:tab w:val="right" w:pos="8900"/>
        </w:tabs>
        <w:spacing w:after="120" w:line="240" w:lineRule="auto"/>
        <w:ind w:right="-329"/>
        <w:jc w:val="both"/>
        <w:rPr>
          <w:rFonts w:ascii="Arial" w:hAnsi="Arial" w:cs="Arial"/>
          <w:b/>
          <w:sz w:val="24"/>
        </w:rPr>
      </w:pPr>
      <w:r>
        <w:rPr>
          <w:rFonts w:ascii="Arial" w:hAnsi="Arial" w:cs="Arial"/>
          <w:b/>
          <w:sz w:val="24"/>
        </w:rPr>
        <w:t>LAZARUS LEDWABA</w:t>
      </w:r>
      <w:r w:rsidR="00305D49">
        <w:rPr>
          <w:rFonts w:ascii="Arial" w:hAnsi="Arial" w:cs="Arial"/>
          <w:b/>
          <w:sz w:val="24"/>
        </w:rPr>
        <w:t xml:space="preserve"> NO</w:t>
      </w:r>
      <w:r w:rsidR="00305D49">
        <w:rPr>
          <w:rFonts w:ascii="Arial" w:hAnsi="Arial" w:cs="Arial"/>
          <w:sz w:val="24"/>
        </w:rPr>
        <w:tab/>
      </w:r>
      <w:r w:rsidR="00305D49" w:rsidRPr="00305D49">
        <w:rPr>
          <w:rFonts w:ascii="Arial" w:hAnsi="Arial" w:cs="Arial"/>
          <w:b/>
          <w:sz w:val="24"/>
        </w:rPr>
        <w:t>SECOND RESPONDENT</w:t>
      </w:r>
    </w:p>
    <w:p w:rsidR="000038B4" w:rsidRPr="00563486" w:rsidRDefault="000038B4" w:rsidP="001A2347">
      <w:pPr>
        <w:tabs>
          <w:tab w:val="left" w:pos="-1440"/>
        </w:tabs>
        <w:spacing w:after="120"/>
        <w:ind w:right="-329"/>
        <w:jc w:val="both"/>
        <w:rPr>
          <w:rFonts w:ascii="Arial" w:hAnsi="Arial" w:cs="Arial"/>
          <w:bCs/>
          <w:sz w:val="24"/>
        </w:rPr>
      </w:pPr>
    </w:p>
    <w:p w:rsidR="00E24D54" w:rsidRDefault="000038B4" w:rsidP="001A2347">
      <w:pPr>
        <w:spacing w:after="120"/>
        <w:ind w:left="2160" w:right="-329" w:hanging="2160"/>
        <w:jc w:val="both"/>
        <w:rPr>
          <w:rFonts w:ascii="Arial" w:hAnsi="Arial" w:cs="Arial"/>
          <w:bCs/>
          <w:sz w:val="24"/>
        </w:rPr>
      </w:pPr>
      <w:r w:rsidRPr="00563486">
        <w:rPr>
          <w:rFonts w:ascii="Arial" w:hAnsi="Arial" w:cs="Arial"/>
          <w:b/>
          <w:bCs/>
          <w:sz w:val="24"/>
        </w:rPr>
        <w:t>Neutral citation:</w:t>
      </w:r>
      <w:r w:rsidRPr="00563486">
        <w:rPr>
          <w:rFonts w:ascii="Arial" w:hAnsi="Arial" w:cs="Arial"/>
          <w:bCs/>
          <w:sz w:val="24"/>
        </w:rPr>
        <w:tab/>
      </w:r>
      <w:r w:rsidR="00305D49">
        <w:rPr>
          <w:rFonts w:ascii="Arial" w:hAnsi="Arial" w:cs="Arial"/>
          <w:bCs/>
          <w:i/>
          <w:sz w:val="24"/>
        </w:rPr>
        <w:t xml:space="preserve">Nedbank </w:t>
      </w:r>
      <w:r w:rsidR="00E002D2">
        <w:rPr>
          <w:rFonts w:ascii="Arial" w:hAnsi="Arial" w:cs="Arial"/>
          <w:bCs/>
          <w:i/>
          <w:sz w:val="24"/>
        </w:rPr>
        <w:t>L</w:t>
      </w:r>
      <w:r w:rsidR="00305D49">
        <w:rPr>
          <w:rFonts w:ascii="Arial" w:hAnsi="Arial" w:cs="Arial"/>
          <w:bCs/>
          <w:i/>
          <w:sz w:val="24"/>
        </w:rPr>
        <w:t xml:space="preserve">imited v </w:t>
      </w:r>
      <w:r w:rsidR="001B3DFD">
        <w:rPr>
          <w:rFonts w:ascii="Arial" w:hAnsi="Arial" w:cs="Arial"/>
          <w:bCs/>
          <w:i/>
          <w:sz w:val="24"/>
        </w:rPr>
        <w:t>M</w:t>
      </w:r>
      <w:r w:rsidR="00305D49">
        <w:rPr>
          <w:rFonts w:ascii="Arial" w:hAnsi="Arial" w:cs="Arial"/>
          <w:bCs/>
          <w:i/>
          <w:sz w:val="24"/>
        </w:rPr>
        <w:t>endelow</w:t>
      </w:r>
      <w:r w:rsidR="00E002D2">
        <w:rPr>
          <w:rFonts w:ascii="Arial" w:hAnsi="Arial" w:cs="Arial"/>
          <w:bCs/>
          <w:i/>
          <w:sz w:val="24"/>
        </w:rPr>
        <w:t xml:space="preserve"> NO</w:t>
      </w:r>
      <w:r w:rsidRPr="00563486">
        <w:rPr>
          <w:rFonts w:ascii="Arial" w:hAnsi="Arial" w:cs="Arial"/>
          <w:bCs/>
          <w:i/>
          <w:sz w:val="24"/>
        </w:rPr>
        <w:t xml:space="preserve"> </w:t>
      </w:r>
      <w:r w:rsidR="00305D49">
        <w:rPr>
          <w:rFonts w:ascii="Arial" w:hAnsi="Arial" w:cs="Arial"/>
          <w:bCs/>
          <w:sz w:val="24"/>
        </w:rPr>
        <w:t>(686/12) [2013] ZASCA</w:t>
      </w:r>
      <w:r w:rsidR="002F2110">
        <w:rPr>
          <w:rFonts w:ascii="Arial" w:hAnsi="Arial" w:cs="Arial"/>
          <w:bCs/>
          <w:sz w:val="24"/>
        </w:rPr>
        <w:t xml:space="preserve"> 98</w:t>
      </w:r>
    </w:p>
    <w:p w:rsidR="000038B4" w:rsidRPr="00563486" w:rsidRDefault="00E24D54" w:rsidP="00E24D54">
      <w:pPr>
        <w:spacing w:after="120"/>
        <w:ind w:left="2160" w:right="-329"/>
        <w:jc w:val="both"/>
        <w:rPr>
          <w:rFonts w:ascii="Arial" w:hAnsi="Arial" w:cs="Arial"/>
          <w:bCs/>
          <w:sz w:val="24"/>
        </w:rPr>
      </w:pPr>
      <w:r>
        <w:rPr>
          <w:rFonts w:ascii="Arial" w:hAnsi="Arial" w:cs="Arial"/>
          <w:bCs/>
          <w:sz w:val="24"/>
        </w:rPr>
        <w:t>(5 September 2013</w:t>
      </w:r>
      <w:r w:rsidR="000038B4" w:rsidRPr="00563486">
        <w:rPr>
          <w:rFonts w:ascii="Arial" w:hAnsi="Arial" w:cs="Arial"/>
          <w:bCs/>
          <w:sz w:val="24"/>
        </w:rPr>
        <w:t>)</w:t>
      </w:r>
    </w:p>
    <w:p w:rsidR="000038B4" w:rsidRPr="00563486" w:rsidRDefault="000038B4" w:rsidP="001A2347">
      <w:pPr>
        <w:tabs>
          <w:tab w:val="left" w:pos="-1440"/>
        </w:tabs>
        <w:spacing w:after="120"/>
        <w:ind w:left="2160" w:right="-329" w:hanging="2160"/>
        <w:jc w:val="both"/>
        <w:rPr>
          <w:rFonts w:ascii="Arial" w:hAnsi="Arial" w:cs="Arial"/>
          <w:bCs/>
          <w:sz w:val="24"/>
        </w:rPr>
      </w:pPr>
      <w:r w:rsidRPr="00563486">
        <w:rPr>
          <w:rFonts w:ascii="Arial" w:hAnsi="Arial" w:cs="Arial"/>
          <w:b/>
          <w:bCs/>
          <w:sz w:val="24"/>
        </w:rPr>
        <w:t>Coram:</w:t>
      </w:r>
      <w:r w:rsidR="00305D49">
        <w:rPr>
          <w:rFonts w:ascii="Arial" w:hAnsi="Arial" w:cs="Arial"/>
          <w:bCs/>
          <w:sz w:val="24"/>
        </w:rPr>
        <w:tab/>
        <w:t>LEWIS, MAYA, MALAN</w:t>
      </w:r>
      <w:r w:rsidR="00D87665">
        <w:rPr>
          <w:rFonts w:ascii="Arial" w:hAnsi="Arial" w:cs="Arial"/>
          <w:bCs/>
          <w:sz w:val="24"/>
        </w:rPr>
        <w:t xml:space="preserve"> AND</w:t>
      </w:r>
      <w:r w:rsidR="00305D49">
        <w:rPr>
          <w:rFonts w:ascii="Arial" w:hAnsi="Arial" w:cs="Arial"/>
          <w:bCs/>
          <w:sz w:val="24"/>
        </w:rPr>
        <w:t xml:space="preserve"> SHONGWE JJA AND ZONDI AJA</w:t>
      </w:r>
    </w:p>
    <w:p w:rsidR="000038B4" w:rsidRPr="00563486" w:rsidRDefault="000038B4" w:rsidP="001A2347">
      <w:pPr>
        <w:tabs>
          <w:tab w:val="left" w:pos="-1440"/>
        </w:tabs>
        <w:spacing w:after="120"/>
        <w:ind w:left="2160" w:right="-329" w:hanging="2160"/>
        <w:jc w:val="both"/>
        <w:rPr>
          <w:rFonts w:ascii="Arial" w:hAnsi="Arial" w:cs="Arial"/>
          <w:bCs/>
          <w:sz w:val="24"/>
        </w:rPr>
      </w:pPr>
      <w:r w:rsidRPr="00563486">
        <w:rPr>
          <w:rFonts w:ascii="Arial" w:hAnsi="Arial" w:cs="Arial"/>
          <w:b/>
          <w:bCs/>
          <w:sz w:val="24"/>
        </w:rPr>
        <w:t>Heard:</w:t>
      </w:r>
      <w:r w:rsidRPr="00563486">
        <w:rPr>
          <w:rFonts w:ascii="Arial" w:hAnsi="Arial" w:cs="Arial"/>
          <w:bCs/>
          <w:sz w:val="24"/>
        </w:rPr>
        <w:tab/>
      </w:r>
      <w:r w:rsidR="00305D49">
        <w:rPr>
          <w:rFonts w:ascii="Arial" w:hAnsi="Arial" w:cs="Arial"/>
          <w:b/>
          <w:bCs/>
          <w:sz w:val="24"/>
        </w:rPr>
        <w:t>16 August 2013</w:t>
      </w:r>
    </w:p>
    <w:p w:rsidR="000038B4" w:rsidRPr="00563486" w:rsidRDefault="000038B4" w:rsidP="001A2347">
      <w:pPr>
        <w:tabs>
          <w:tab w:val="left" w:pos="-1440"/>
        </w:tabs>
        <w:spacing w:after="120"/>
        <w:ind w:left="2160" w:right="-329" w:hanging="2160"/>
        <w:jc w:val="both"/>
        <w:rPr>
          <w:rFonts w:ascii="Arial" w:hAnsi="Arial" w:cs="Arial"/>
          <w:b/>
          <w:sz w:val="24"/>
        </w:rPr>
      </w:pPr>
      <w:r w:rsidRPr="00563486">
        <w:rPr>
          <w:rFonts w:ascii="Arial" w:hAnsi="Arial" w:cs="Arial"/>
          <w:b/>
          <w:bCs/>
          <w:sz w:val="24"/>
        </w:rPr>
        <w:t xml:space="preserve">Delivered: </w:t>
      </w:r>
      <w:r w:rsidR="00305D49">
        <w:rPr>
          <w:rFonts w:ascii="Arial" w:hAnsi="Arial" w:cs="Arial"/>
          <w:b/>
          <w:sz w:val="24"/>
        </w:rPr>
        <w:tab/>
      </w:r>
      <w:r w:rsidR="00E24D54">
        <w:rPr>
          <w:rFonts w:ascii="Arial" w:hAnsi="Arial" w:cs="Arial"/>
          <w:b/>
          <w:sz w:val="24"/>
        </w:rPr>
        <w:t>5 September 2013</w:t>
      </w:r>
    </w:p>
    <w:p w:rsidR="000038B4" w:rsidRPr="00E66834" w:rsidRDefault="000038B4" w:rsidP="001A2347">
      <w:pPr>
        <w:tabs>
          <w:tab w:val="left" w:pos="1440"/>
        </w:tabs>
        <w:spacing w:after="120" w:line="240" w:lineRule="auto"/>
        <w:ind w:left="1440" w:right="-329" w:hanging="1440"/>
        <w:jc w:val="both"/>
        <w:rPr>
          <w:rFonts w:ascii="Arial" w:hAnsi="Arial" w:cs="Arial"/>
          <w:bCs/>
          <w:sz w:val="24"/>
        </w:rPr>
      </w:pPr>
      <w:r w:rsidRPr="00563486">
        <w:rPr>
          <w:rFonts w:ascii="Arial" w:hAnsi="Arial" w:cs="Arial"/>
          <w:b/>
          <w:bCs/>
          <w:sz w:val="24"/>
        </w:rPr>
        <w:t>Summary:</w:t>
      </w:r>
      <w:r>
        <w:rPr>
          <w:rFonts w:ascii="Arial" w:hAnsi="Arial" w:cs="Arial"/>
          <w:b/>
          <w:bCs/>
          <w:sz w:val="24"/>
        </w:rPr>
        <w:t xml:space="preserve"> </w:t>
      </w:r>
      <w:r>
        <w:rPr>
          <w:rFonts w:ascii="Arial" w:hAnsi="Arial" w:cs="Arial"/>
          <w:b/>
          <w:bCs/>
          <w:sz w:val="24"/>
        </w:rPr>
        <w:tab/>
      </w:r>
      <w:r w:rsidR="00E66834" w:rsidRPr="00E66834">
        <w:rPr>
          <w:rFonts w:ascii="Arial" w:hAnsi="Arial" w:cs="Arial"/>
          <w:bCs/>
          <w:sz w:val="24"/>
        </w:rPr>
        <w:t xml:space="preserve">Where the Master of the High Court and the Registrar of Deeds perform clerical acts that result in the registration of transfer of immovable property pursuant to a fraud, and there is no intention on the part of a beneficiary of a deceased estate to transfer ownership, registration does not effect a transfer of ownership; the person in whose name the property is registered is not the owner and cannot grant a valid mortgage bond over the property. Purely clerical acts do not amount to administrative action reviewable under the Promotion of Administrative Justice Act 3 of 2000. </w:t>
      </w:r>
    </w:p>
    <w:p w:rsidR="000038B4" w:rsidRDefault="000038B4" w:rsidP="0081100A">
      <w:pPr>
        <w:tabs>
          <w:tab w:val="left" w:pos="1440"/>
        </w:tabs>
        <w:spacing w:line="240" w:lineRule="auto"/>
        <w:ind w:left="1440" w:right="-329" w:hanging="1440"/>
        <w:jc w:val="both"/>
        <w:rPr>
          <w:rFonts w:ascii="Arial" w:hAnsi="Arial" w:cs="Arial"/>
          <w:b/>
          <w:bCs/>
          <w:sz w:val="24"/>
        </w:rPr>
      </w:pPr>
    </w:p>
    <w:p w:rsidR="00E002D2" w:rsidRDefault="00E002D2" w:rsidP="0081100A">
      <w:pPr>
        <w:tabs>
          <w:tab w:val="left" w:pos="1440"/>
        </w:tabs>
        <w:spacing w:line="240" w:lineRule="auto"/>
        <w:ind w:left="1440" w:right="-329" w:hanging="1440"/>
        <w:jc w:val="both"/>
        <w:rPr>
          <w:rFonts w:ascii="Arial" w:hAnsi="Arial" w:cs="Arial"/>
          <w:b/>
          <w:bCs/>
          <w:sz w:val="24"/>
        </w:rPr>
      </w:pPr>
    </w:p>
    <w:p w:rsidR="00E002D2" w:rsidRDefault="00E002D2" w:rsidP="0081100A">
      <w:pPr>
        <w:tabs>
          <w:tab w:val="left" w:pos="1440"/>
        </w:tabs>
        <w:spacing w:line="240" w:lineRule="auto"/>
        <w:ind w:left="1440" w:right="-329" w:hanging="1440"/>
        <w:jc w:val="both"/>
        <w:rPr>
          <w:rFonts w:ascii="Arial" w:hAnsi="Arial" w:cs="Arial"/>
          <w:b/>
          <w:bCs/>
          <w:sz w:val="24"/>
        </w:rPr>
      </w:pPr>
    </w:p>
    <w:p w:rsidR="00E002D2" w:rsidRPr="00563486" w:rsidRDefault="00E002D2" w:rsidP="00C8580F">
      <w:pPr>
        <w:tabs>
          <w:tab w:val="left" w:pos="1440"/>
        </w:tabs>
        <w:spacing w:line="240" w:lineRule="auto"/>
        <w:ind w:right="-329"/>
        <w:jc w:val="both"/>
        <w:rPr>
          <w:rFonts w:ascii="Arial" w:hAnsi="Arial" w:cs="Arial"/>
          <w:b/>
          <w:bCs/>
          <w:sz w:val="24"/>
        </w:rPr>
      </w:pPr>
      <w:r>
        <w:rPr>
          <w:rFonts w:ascii="Arial" w:hAnsi="Arial" w:cs="Arial"/>
          <w:b/>
          <w:bCs/>
          <w:sz w:val="24"/>
        </w:rPr>
        <w:br w:type="page"/>
      </w:r>
    </w:p>
    <w:p w:rsidR="000038B4" w:rsidRDefault="000038B4" w:rsidP="000C5269">
      <w:pPr>
        <w:pBdr>
          <w:top w:val="single" w:sz="12" w:space="1" w:color="auto"/>
          <w:bottom w:val="single" w:sz="12" w:space="1" w:color="auto"/>
        </w:pBdr>
        <w:spacing w:after="0" w:line="360" w:lineRule="auto"/>
        <w:jc w:val="both"/>
        <w:rPr>
          <w:rFonts w:ascii="Arial" w:hAnsi="Arial" w:cs="Arial"/>
          <w:b/>
          <w:sz w:val="24"/>
          <w:szCs w:val="24"/>
        </w:rPr>
      </w:pPr>
    </w:p>
    <w:p w:rsidR="000038B4" w:rsidRDefault="000038B4" w:rsidP="006162B3">
      <w:pPr>
        <w:pBdr>
          <w:top w:val="single" w:sz="12" w:space="1" w:color="auto"/>
          <w:bottom w:val="single" w:sz="12" w:space="1" w:color="auto"/>
        </w:pBdr>
        <w:spacing w:after="0" w:line="360" w:lineRule="auto"/>
        <w:jc w:val="center"/>
        <w:rPr>
          <w:rFonts w:ascii="Arial" w:hAnsi="Arial" w:cs="Arial"/>
          <w:b/>
          <w:sz w:val="24"/>
          <w:szCs w:val="24"/>
        </w:rPr>
      </w:pPr>
      <w:r>
        <w:rPr>
          <w:rFonts w:ascii="Arial" w:hAnsi="Arial" w:cs="Arial"/>
          <w:b/>
          <w:sz w:val="24"/>
          <w:szCs w:val="24"/>
        </w:rPr>
        <w:t>ORDER</w:t>
      </w:r>
    </w:p>
    <w:p w:rsidR="000038B4" w:rsidRDefault="000038B4" w:rsidP="006162B3">
      <w:pPr>
        <w:pBdr>
          <w:top w:val="single" w:sz="12" w:space="1" w:color="auto"/>
          <w:bottom w:val="single" w:sz="12" w:space="1" w:color="auto"/>
        </w:pBdr>
        <w:spacing w:after="0" w:line="360" w:lineRule="auto"/>
        <w:jc w:val="center"/>
        <w:rPr>
          <w:rFonts w:ascii="Arial" w:hAnsi="Arial" w:cs="Arial"/>
          <w:b/>
          <w:sz w:val="24"/>
          <w:szCs w:val="24"/>
        </w:rPr>
      </w:pPr>
    </w:p>
    <w:p w:rsidR="000038B4" w:rsidRDefault="000038B4" w:rsidP="000C5269">
      <w:pPr>
        <w:spacing w:after="0" w:line="360" w:lineRule="auto"/>
        <w:jc w:val="both"/>
        <w:rPr>
          <w:rFonts w:ascii="Arial" w:hAnsi="Arial" w:cs="Arial"/>
          <w:b/>
          <w:sz w:val="24"/>
          <w:szCs w:val="24"/>
        </w:rPr>
      </w:pPr>
    </w:p>
    <w:p w:rsidR="00C233F7" w:rsidRDefault="000038B4" w:rsidP="00C233F7">
      <w:pPr>
        <w:spacing w:after="0" w:line="360" w:lineRule="auto"/>
        <w:jc w:val="both"/>
        <w:rPr>
          <w:rFonts w:ascii="Arial" w:hAnsi="Arial" w:cs="Arial"/>
          <w:sz w:val="24"/>
          <w:szCs w:val="24"/>
        </w:rPr>
      </w:pPr>
      <w:r>
        <w:rPr>
          <w:rFonts w:ascii="Arial" w:hAnsi="Arial" w:cs="Arial"/>
          <w:b/>
          <w:sz w:val="24"/>
          <w:szCs w:val="24"/>
        </w:rPr>
        <w:t>On appeal from</w:t>
      </w:r>
      <w:r w:rsidR="00C233F7">
        <w:rPr>
          <w:rFonts w:ascii="Arial" w:hAnsi="Arial" w:cs="Arial"/>
          <w:b/>
          <w:sz w:val="24"/>
          <w:szCs w:val="24"/>
        </w:rPr>
        <w:t xml:space="preserve"> </w:t>
      </w:r>
      <w:r w:rsidR="00C233F7">
        <w:rPr>
          <w:rFonts w:ascii="Arial" w:hAnsi="Arial" w:cs="Arial"/>
          <w:sz w:val="24"/>
          <w:szCs w:val="24"/>
        </w:rPr>
        <w:t xml:space="preserve">North Gauteng High Court, </w:t>
      </w:r>
      <w:smartTag w:uri="urn:schemas-microsoft-com:office:smarttags" w:element="City">
        <w:smartTag w:uri="urn:schemas-microsoft-com:office:smarttags" w:element="place">
          <w:r w:rsidR="00C233F7">
            <w:rPr>
              <w:rFonts w:ascii="Arial" w:hAnsi="Arial" w:cs="Arial"/>
              <w:sz w:val="24"/>
              <w:szCs w:val="24"/>
            </w:rPr>
            <w:t>Pretoria</w:t>
          </w:r>
        </w:smartTag>
      </w:smartTag>
      <w:r w:rsidR="00C233F7">
        <w:rPr>
          <w:rFonts w:ascii="Arial" w:hAnsi="Arial" w:cs="Arial"/>
          <w:sz w:val="24"/>
          <w:szCs w:val="24"/>
        </w:rPr>
        <w:t xml:space="preserve"> (Baqwa </w:t>
      </w:r>
      <w:r w:rsidR="00D87665">
        <w:rPr>
          <w:rFonts w:ascii="Arial" w:hAnsi="Arial" w:cs="Arial"/>
          <w:sz w:val="24"/>
          <w:szCs w:val="24"/>
        </w:rPr>
        <w:t>A</w:t>
      </w:r>
      <w:r w:rsidR="00C233F7" w:rsidRPr="006162B3">
        <w:rPr>
          <w:rFonts w:ascii="Arial" w:hAnsi="Arial" w:cs="Arial"/>
          <w:sz w:val="24"/>
          <w:szCs w:val="24"/>
        </w:rPr>
        <w:t>J sitting as court of first instance)</w:t>
      </w:r>
      <w:r w:rsidR="00C233F7">
        <w:rPr>
          <w:rFonts w:ascii="Arial" w:hAnsi="Arial" w:cs="Arial"/>
          <w:sz w:val="24"/>
          <w:szCs w:val="24"/>
        </w:rPr>
        <w:t>:</w:t>
      </w:r>
    </w:p>
    <w:p w:rsidR="00C233F7" w:rsidRPr="00C233F7" w:rsidRDefault="00C233F7" w:rsidP="00C233F7">
      <w:pPr>
        <w:spacing w:after="0" w:line="360" w:lineRule="auto"/>
        <w:jc w:val="both"/>
        <w:rPr>
          <w:rFonts w:ascii="Arial" w:hAnsi="Arial" w:cs="Arial"/>
          <w:sz w:val="24"/>
          <w:szCs w:val="24"/>
        </w:rPr>
      </w:pPr>
      <w:r w:rsidRPr="00C233F7">
        <w:rPr>
          <w:rFonts w:ascii="Arial" w:hAnsi="Arial" w:cs="Arial"/>
          <w:sz w:val="24"/>
          <w:szCs w:val="24"/>
        </w:rPr>
        <w:t>The appeal is dismissed with costs including those of two counsel where so employed.</w:t>
      </w:r>
    </w:p>
    <w:p w:rsidR="000038B4" w:rsidRDefault="000038B4" w:rsidP="000C5269">
      <w:pPr>
        <w:pBdr>
          <w:bottom w:val="single" w:sz="12" w:space="1" w:color="auto"/>
        </w:pBdr>
        <w:spacing w:after="0" w:line="360" w:lineRule="auto"/>
        <w:jc w:val="both"/>
        <w:rPr>
          <w:rFonts w:ascii="Arial" w:hAnsi="Arial" w:cs="Arial"/>
          <w:b/>
          <w:sz w:val="24"/>
          <w:szCs w:val="24"/>
        </w:rPr>
      </w:pPr>
    </w:p>
    <w:p w:rsidR="000038B4" w:rsidRDefault="000038B4" w:rsidP="000C5269">
      <w:pPr>
        <w:spacing w:after="0" w:line="360" w:lineRule="auto"/>
        <w:jc w:val="both"/>
        <w:rPr>
          <w:rFonts w:ascii="Arial" w:hAnsi="Arial" w:cs="Arial"/>
          <w:sz w:val="24"/>
          <w:szCs w:val="24"/>
        </w:rPr>
      </w:pPr>
    </w:p>
    <w:p w:rsidR="000038B4" w:rsidRPr="006162B3" w:rsidRDefault="000038B4" w:rsidP="00EC65A5">
      <w:pPr>
        <w:pBdr>
          <w:bottom w:val="single" w:sz="12" w:space="1" w:color="auto"/>
        </w:pBdr>
        <w:spacing w:after="0" w:line="360" w:lineRule="auto"/>
        <w:jc w:val="center"/>
        <w:rPr>
          <w:rFonts w:ascii="Arial" w:hAnsi="Arial" w:cs="Arial"/>
          <w:b/>
          <w:sz w:val="24"/>
          <w:szCs w:val="24"/>
        </w:rPr>
      </w:pPr>
      <w:r w:rsidRPr="006162B3">
        <w:rPr>
          <w:rFonts w:ascii="Arial" w:hAnsi="Arial" w:cs="Arial"/>
          <w:b/>
          <w:sz w:val="24"/>
          <w:szCs w:val="24"/>
        </w:rPr>
        <w:t>JUDGMENT</w:t>
      </w:r>
    </w:p>
    <w:p w:rsidR="000038B4" w:rsidRDefault="000038B4" w:rsidP="00EC65A5">
      <w:pPr>
        <w:pBdr>
          <w:bottom w:val="single" w:sz="12" w:space="1" w:color="auto"/>
        </w:pBdr>
        <w:spacing w:after="0" w:line="360" w:lineRule="auto"/>
        <w:jc w:val="center"/>
        <w:rPr>
          <w:rFonts w:ascii="Arial" w:hAnsi="Arial" w:cs="Arial"/>
          <w:sz w:val="24"/>
          <w:szCs w:val="24"/>
        </w:rPr>
      </w:pPr>
    </w:p>
    <w:p w:rsidR="000038B4" w:rsidRDefault="000038B4" w:rsidP="000C5269">
      <w:pPr>
        <w:spacing w:after="0" w:line="360" w:lineRule="auto"/>
        <w:jc w:val="both"/>
        <w:rPr>
          <w:rFonts w:ascii="Arial" w:hAnsi="Arial" w:cs="Arial"/>
          <w:sz w:val="24"/>
          <w:szCs w:val="24"/>
        </w:rPr>
      </w:pPr>
    </w:p>
    <w:p w:rsidR="000038B4" w:rsidRDefault="00E002D2" w:rsidP="000C5269">
      <w:pPr>
        <w:spacing w:after="0" w:line="360" w:lineRule="auto"/>
        <w:jc w:val="both"/>
        <w:rPr>
          <w:rFonts w:ascii="Arial" w:hAnsi="Arial" w:cs="Arial"/>
          <w:sz w:val="24"/>
          <w:szCs w:val="24"/>
        </w:rPr>
      </w:pPr>
      <w:r w:rsidRPr="00E002D2">
        <w:rPr>
          <w:rFonts w:ascii="Arial" w:hAnsi="Arial" w:cs="Arial"/>
          <w:b/>
          <w:sz w:val="24"/>
          <w:szCs w:val="24"/>
        </w:rPr>
        <w:t>Lewis JA</w:t>
      </w:r>
      <w:r w:rsidR="00C233F7">
        <w:rPr>
          <w:rFonts w:ascii="Arial" w:hAnsi="Arial" w:cs="Arial"/>
          <w:sz w:val="24"/>
          <w:szCs w:val="24"/>
        </w:rPr>
        <w:t xml:space="preserve"> (</w:t>
      </w:r>
      <w:r w:rsidR="00D87665" w:rsidRPr="00D87665">
        <w:rPr>
          <w:rFonts w:ascii="Arial" w:hAnsi="Arial" w:cs="Arial"/>
          <w:b/>
          <w:sz w:val="24"/>
          <w:szCs w:val="24"/>
        </w:rPr>
        <w:t xml:space="preserve">Maya, Malan and Shongwe JJA and Zondi AJA </w:t>
      </w:r>
      <w:r w:rsidR="000038B4" w:rsidRPr="00D87665">
        <w:rPr>
          <w:rFonts w:ascii="Arial" w:hAnsi="Arial" w:cs="Arial"/>
          <w:b/>
          <w:sz w:val="24"/>
          <w:szCs w:val="24"/>
        </w:rPr>
        <w:t>concurring</w:t>
      </w:r>
      <w:r w:rsidR="000038B4">
        <w:rPr>
          <w:rFonts w:ascii="Arial" w:hAnsi="Arial" w:cs="Arial"/>
          <w:sz w:val="24"/>
          <w:szCs w:val="24"/>
        </w:rPr>
        <w:t>)</w:t>
      </w:r>
      <w:r w:rsidR="00D87665">
        <w:rPr>
          <w:rFonts w:ascii="Arial" w:hAnsi="Arial" w:cs="Arial"/>
          <w:sz w:val="24"/>
          <w:szCs w:val="24"/>
        </w:rPr>
        <w:t>:</w:t>
      </w:r>
    </w:p>
    <w:p w:rsidR="000038B4" w:rsidRDefault="000038B4" w:rsidP="000C5269">
      <w:pPr>
        <w:spacing w:after="0" w:line="360" w:lineRule="auto"/>
        <w:jc w:val="both"/>
        <w:rPr>
          <w:rFonts w:ascii="Arial" w:hAnsi="Arial" w:cs="Arial"/>
          <w:sz w:val="24"/>
          <w:szCs w:val="24"/>
        </w:rPr>
      </w:pPr>
    </w:p>
    <w:p w:rsidR="00C233F7" w:rsidRPr="00C233F7" w:rsidRDefault="00C233F7" w:rsidP="000B64F1">
      <w:pPr>
        <w:spacing w:line="360" w:lineRule="auto"/>
        <w:jc w:val="both"/>
        <w:rPr>
          <w:rFonts w:ascii="Arial" w:hAnsi="Arial" w:cs="Arial"/>
          <w:sz w:val="24"/>
          <w:szCs w:val="24"/>
        </w:rPr>
      </w:pPr>
      <w:r w:rsidRPr="00C233F7">
        <w:rPr>
          <w:rFonts w:ascii="Arial" w:hAnsi="Arial" w:cs="Arial"/>
          <w:sz w:val="24"/>
          <w:szCs w:val="24"/>
        </w:rPr>
        <w:t>[1]</w:t>
      </w:r>
      <w:r w:rsidRPr="00C233F7">
        <w:rPr>
          <w:rFonts w:ascii="Arial" w:hAnsi="Arial" w:cs="Arial"/>
          <w:sz w:val="24"/>
          <w:szCs w:val="24"/>
        </w:rPr>
        <w:tab/>
        <w:t xml:space="preserve">Mrs Emily Valente owned immovable property in </w:t>
      </w:r>
      <w:smartTag w:uri="urn:schemas-microsoft-com:office:smarttags" w:element="State">
        <w:smartTag w:uri="urn:schemas-microsoft-com:office:smarttags" w:element="place">
          <w:r w:rsidRPr="00C233F7">
            <w:rPr>
              <w:rFonts w:ascii="Arial" w:hAnsi="Arial" w:cs="Arial"/>
              <w:sz w:val="24"/>
              <w:szCs w:val="24"/>
            </w:rPr>
            <w:t>Gauteng</w:t>
          </w:r>
        </w:smartTag>
      </w:smartTag>
      <w:r w:rsidRPr="00C233F7">
        <w:rPr>
          <w:rFonts w:ascii="Arial" w:hAnsi="Arial" w:cs="Arial"/>
          <w:sz w:val="24"/>
          <w:szCs w:val="24"/>
        </w:rPr>
        <w:t xml:space="preserve">. She executed and signed a will in 1994, leaving her estate in equal shares to her two sons, Evan Valente and </w:t>
      </w:r>
      <w:r w:rsidR="00DD766A">
        <w:rPr>
          <w:rFonts w:ascii="Arial" w:hAnsi="Arial" w:cs="Arial"/>
          <w:sz w:val="24"/>
          <w:szCs w:val="24"/>
        </w:rPr>
        <w:t>Riccardo</w:t>
      </w:r>
      <w:r w:rsidRPr="00C233F7">
        <w:rPr>
          <w:rFonts w:ascii="Arial" w:hAnsi="Arial" w:cs="Arial"/>
          <w:sz w:val="24"/>
          <w:szCs w:val="24"/>
        </w:rPr>
        <w:t xml:space="preserve"> Valente, the eighth respondent in the high court. At that stage the property formed part of the estate. Some three years later she signed a codicil, bequeathing money to each of her grandchildren.</w:t>
      </w:r>
    </w:p>
    <w:p w:rsidR="00C233F7" w:rsidRPr="00C233F7" w:rsidRDefault="00C233F7" w:rsidP="000B64F1">
      <w:pPr>
        <w:spacing w:line="360" w:lineRule="auto"/>
        <w:jc w:val="both"/>
        <w:rPr>
          <w:rFonts w:ascii="Arial" w:hAnsi="Arial" w:cs="Arial"/>
          <w:sz w:val="24"/>
          <w:szCs w:val="24"/>
        </w:rPr>
      </w:pPr>
      <w:r w:rsidRPr="00C233F7">
        <w:rPr>
          <w:rFonts w:ascii="Arial" w:hAnsi="Arial" w:cs="Arial"/>
          <w:sz w:val="24"/>
          <w:szCs w:val="24"/>
        </w:rPr>
        <w:t>[2]</w:t>
      </w:r>
      <w:r w:rsidRPr="00C233F7">
        <w:rPr>
          <w:rFonts w:ascii="Arial" w:hAnsi="Arial" w:cs="Arial"/>
          <w:sz w:val="24"/>
          <w:szCs w:val="24"/>
        </w:rPr>
        <w:tab/>
        <w:t xml:space="preserve">On 23 January 2001, the property was sold to a company, U Valente Africa (Pty) Ltd (the company), in liquidation at the time of the proceedings before the high court. Mrs Valente’s signature on the deed of sale was forged by </w:t>
      </w:r>
      <w:r w:rsidR="00DD766A">
        <w:rPr>
          <w:rFonts w:ascii="Arial" w:hAnsi="Arial" w:cs="Arial"/>
          <w:sz w:val="24"/>
          <w:szCs w:val="24"/>
        </w:rPr>
        <w:t>Riccardo</w:t>
      </w:r>
      <w:r w:rsidRPr="00C233F7">
        <w:rPr>
          <w:rFonts w:ascii="Arial" w:hAnsi="Arial" w:cs="Arial"/>
          <w:sz w:val="24"/>
          <w:szCs w:val="24"/>
        </w:rPr>
        <w:t xml:space="preserve">. </w:t>
      </w:r>
      <w:proofErr w:type="gramStart"/>
      <w:r w:rsidRPr="00C233F7">
        <w:rPr>
          <w:rFonts w:ascii="Arial" w:hAnsi="Arial" w:cs="Arial"/>
          <w:sz w:val="24"/>
          <w:szCs w:val="24"/>
        </w:rPr>
        <w:t>A week later Mrs Valente died.</w:t>
      </w:r>
      <w:proofErr w:type="gramEnd"/>
      <w:r w:rsidRPr="00C233F7">
        <w:rPr>
          <w:rFonts w:ascii="Arial" w:hAnsi="Arial" w:cs="Arial"/>
          <w:sz w:val="24"/>
          <w:szCs w:val="24"/>
        </w:rPr>
        <w:t xml:space="preserve"> An attorney (the seventh respondent a quo) and </w:t>
      </w:r>
      <w:r w:rsidR="00DD766A">
        <w:rPr>
          <w:rFonts w:ascii="Arial" w:hAnsi="Arial" w:cs="Arial"/>
          <w:sz w:val="24"/>
          <w:szCs w:val="24"/>
        </w:rPr>
        <w:t>Riccardo</w:t>
      </w:r>
      <w:r w:rsidRPr="00C233F7">
        <w:rPr>
          <w:rFonts w:ascii="Arial" w:hAnsi="Arial" w:cs="Arial"/>
          <w:sz w:val="24"/>
          <w:szCs w:val="24"/>
        </w:rPr>
        <w:t xml:space="preserve"> were appointed as co-executors of the will and as administrators of the estate. Although nominated as an executor and administrator Evan declined the appointments since he was living in the </w:t>
      </w:r>
      <w:smartTag w:uri="urn:schemas-microsoft-com:office:smarttags" w:element="country-region">
        <w:smartTag w:uri="urn:schemas-microsoft-com:office:smarttags" w:element="place">
          <w:r w:rsidRPr="00C233F7">
            <w:rPr>
              <w:rFonts w:ascii="Arial" w:hAnsi="Arial" w:cs="Arial"/>
              <w:sz w:val="24"/>
              <w:szCs w:val="24"/>
            </w:rPr>
            <w:t>United Kingdom</w:t>
          </w:r>
        </w:smartTag>
      </w:smartTag>
      <w:r w:rsidRPr="00C233F7">
        <w:rPr>
          <w:rFonts w:ascii="Arial" w:hAnsi="Arial" w:cs="Arial"/>
          <w:sz w:val="24"/>
          <w:szCs w:val="24"/>
        </w:rPr>
        <w:t xml:space="preserve"> at the time. The attorney resigned as an executor of the estate in May 2007.</w:t>
      </w:r>
    </w:p>
    <w:p w:rsidR="00C233F7" w:rsidRPr="00C233F7" w:rsidRDefault="00C233F7" w:rsidP="000B64F1">
      <w:pPr>
        <w:spacing w:line="360" w:lineRule="auto"/>
        <w:jc w:val="both"/>
        <w:rPr>
          <w:rFonts w:ascii="Arial" w:hAnsi="Arial" w:cs="Arial"/>
          <w:sz w:val="24"/>
          <w:szCs w:val="24"/>
        </w:rPr>
      </w:pPr>
      <w:r w:rsidRPr="00C233F7">
        <w:rPr>
          <w:rFonts w:ascii="Arial" w:hAnsi="Arial" w:cs="Arial"/>
          <w:sz w:val="24"/>
          <w:szCs w:val="24"/>
        </w:rPr>
        <w:t>[3]</w:t>
      </w:r>
      <w:r w:rsidRPr="00C233F7">
        <w:rPr>
          <w:rFonts w:ascii="Arial" w:hAnsi="Arial" w:cs="Arial"/>
          <w:sz w:val="24"/>
          <w:szCs w:val="24"/>
        </w:rPr>
        <w:tab/>
        <w:t xml:space="preserve">At the time of Mrs Valente’s death her estate comprised shares in the company, the property, cash and miscellaneous movable items. The directors of the </w:t>
      </w:r>
      <w:r w:rsidRPr="00C233F7">
        <w:rPr>
          <w:rFonts w:ascii="Arial" w:hAnsi="Arial" w:cs="Arial"/>
          <w:sz w:val="24"/>
          <w:szCs w:val="24"/>
        </w:rPr>
        <w:lastRenderedPageBreak/>
        <w:t xml:space="preserve">company before her death were Mrs Valente, Evan and </w:t>
      </w:r>
      <w:r w:rsidR="00DD766A">
        <w:rPr>
          <w:rFonts w:ascii="Arial" w:hAnsi="Arial" w:cs="Arial"/>
          <w:sz w:val="24"/>
          <w:szCs w:val="24"/>
        </w:rPr>
        <w:t>Riccardo</w:t>
      </w:r>
      <w:r w:rsidRPr="00C233F7">
        <w:rPr>
          <w:rFonts w:ascii="Arial" w:hAnsi="Arial" w:cs="Arial"/>
          <w:sz w:val="24"/>
          <w:szCs w:val="24"/>
        </w:rPr>
        <w:t xml:space="preserve">. The respondents, Mr R Mendelow and Mr L Ledwaba NNO (to whom I shall refer as the executors), in their capacities as the joint executors of Mrs Valente’s deceased estate (appointed in 2009), applied to the North Gauteng High Court, Pretoria for an order in effect setting aside </w:t>
      </w:r>
      <w:r w:rsidR="00D87665">
        <w:rPr>
          <w:rFonts w:ascii="Arial" w:hAnsi="Arial" w:cs="Arial"/>
          <w:sz w:val="24"/>
          <w:szCs w:val="24"/>
        </w:rPr>
        <w:t>a</w:t>
      </w:r>
      <w:r w:rsidRPr="00C233F7">
        <w:rPr>
          <w:rFonts w:ascii="Arial" w:hAnsi="Arial" w:cs="Arial"/>
          <w:sz w:val="24"/>
          <w:szCs w:val="24"/>
        </w:rPr>
        <w:t xml:space="preserve"> </w:t>
      </w:r>
      <w:r w:rsidR="00D87665">
        <w:rPr>
          <w:rFonts w:ascii="Arial" w:hAnsi="Arial" w:cs="Arial"/>
          <w:sz w:val="24"/>
          <w:szCs w:val="24"/>
        </w:rPr>
        <w:t xml:space="preserve">purported </w:t>
      </w:r>
      <w:r w:rsidRPr="00C233F7">
        <w:rPr>
          <w:rFonts w:ascii="Arial" w:hAnsi="Arial" w:cs="Arial"/>
          <w:sz w:val="24"/>
          <w:szCs w:val="24"/>
        </w:rPr>
        <w:t>transfer of the property to the company, and the registration of a bond over the property in favour of Imperial Bank Ltd, registered in October 2008. That bank was acquired by the appellant, Nedbank Ltd (Nedbank), in 2010.</w:t>
      </w:r>
    </w:p>
    <w:p w:rsidR="00C233F7" w:rsidRPr="00C233F7" w:rsidRDefault="00C233F7" w:rsidP="000B64F1">
      <w:pPr>
        <w:spacing w:line="360" w:lineRule="auto"/>
        <w:jc w:val="both"/>
        <w:rPr>
          <w:rFonts w:ascii="Arial" w:hAnsi="Arial" w:cs="Arial"/>
          <w:sz w:val="24"/>
          <w:szCs w:val="24"/>
        </w:rPr>
      </w:pPr>
      <w:r w:rsidRPr="00C233F7">
        <w:rPr>
          <w:rFonts w:ascii="Arial" w:hAnsi="Arial" w:cs="Arial"/>
          <w:sz w:val="24"/>
          <w:szCs w:val="24"/>
        </w:rPr>
        <w:t>[4]</w:t>
      </w:r>
      <w:r w:rsidRPr="00C233F7">
        <w:rPr>
          <w:rFonts w:ascii="Arial" w:hAnsi="Arial" w:cs="Arial"/>
          <w:sz w:val="24"/>
          <w:szCs w:val="24"/>
        </w:rPr>
        <w:tab/>
        <w:t xml:space="preserve">In their application the executors alleged that the sale and transfer of the property to the company, and the registration of the bond in favour of Nedbank, had been vitiated by fraud: </w:t>
      </w:r>
      <w:r w:rsidR="00DD766A">
        <w:rPr>
          <w:rFonts w:ascii="Arial" w:hAnsi="Arial" w:cs="Arial"/>
          <w:sz w:val="24"/>
          <w:szCs w:val="24"/>
        </w:rPr>
        <w:t>Riccardo</w:t>
      </w:r>
      <w:r w:rsidRPr="00C233F7">
        <w:rPr>
          <w:rFonts w:ascii="Arial" w:hAnsi="Arial" w:cs="Arial"/>
          <w:sz w:val="24"/>
          <w:szCs w:val="24"/>
        </w:rPr>
        <w:t xml:space="preserve"> had forged Mrs Valente’s signature on the deed of sale and forged Evan’s signature on a document entitled ‘consent to sale’. </w:t>
      </w:r>
      <w:r w:rsidR="00DD766A">
        <w:rPr>
          <w:rFonts w:ascii="Arial" w:hAnsi="Arial" w:cs="Arial"/>
          <w:sz w:val="24"/>
          <w:szCs w:val="24"/>
        </w:rPr>
        <w:t>Riccardo</w:t>
      </w:r>
      <w:r w:rsidRPr="00C233F7">
        <w:rPr>
          <w:rFonts w:ascii="Arial" w:hAnsi="Arial" w:cs="Arial"/>
          <w:sz w:val="24"/>
          <w:szCs w:val="24"/>
        </w:rPr>
        <w:t xml:space="preserve"> had also had Evan removed as a director of the company and obtained a mortgage bond over the property first from BoE Bank Ltd (cancelled when the subsequent bond was registered) against a loan of some R2 million and later the mortgage bond in favour of Nedbank, the cancellation of which the executors sought. It should be noted that the bond in question (granted as security for a loan advanced to the company of R6 million) was registered over the property shortly before the provisional winding-up order was granted. I shall return to the allegations of fraud and forgery later in the judgment, but should note at this point that in my view they are central to and decisive of the dispute. </w:t>
      </w:r>
    </w:p>
    <w:p w:rsidR="00C233F7" w:rsidRPr="00C233F7" w:rsidRDefault="00C233F7" w:rsidP="000B64F1">
      <w:pPr>
        <w:spacing w:line="360" w:lineRule="auto"/>
        <w:jc w:val="both"/>
        <w:rPr>
          <w:rFonts w:ascii="Arial" w:hAnsi="Arial" w:cs="Arial"/>
          <w:sz w:val="24"/>
          <w:szCs w:val="24"/>
        </w:rPr>
      </w:pPr>
      <w:r w:rsidRPr="00C233F7">
        <w:rPr>
          <w:rFonts w:ascii="Arial" w:hAnsi="Arial" w:cs="Arial"/>
          <w:sz w:val="24"/>
          <w:szCs w:val="24"/>
        </w:rPr>
        <w:t>[5]</w:t>
      </w:r>
      <w:r w:rsidRPr="00C233F7">
        <w:rPr>
          <w:rFonts w:ascii="Arial" w:hAnsi="Arial" w:cs="Arial"/>
          <w:sz w:val="24"/>
          <w:szCs w:val="24"/>
        </w:rPr>
        <w:tab/>
        <w:t>The basis of the application was initially s 341(2) of the Companies Act</w:t>
      </w:r>
      <w:r w:rsidR="00E002D2">
        <w:rPr>
          <w:rFonts w:ascii="Arial" w:hAnsi="Arial" w:cs="Arial"/>
          <w:sz w:val="24"/>
          <w:szCs w:val="24"/>
        </w:rPr>
        <w:t xml:space="preserve"> 61 of</w:t>
      </w:r>
      <w:r w:rsidRPr="00C233F7">
        <w:rPr>
          <w:rFonts w:ascii="Arial" w:hAnsi="Arial" w:cs="Arial"/>
          <w:sz w:val="24"/>
          <w:szCs w:val="24"/>
        </w:rPr>
        <w:t xml:space="preserve"> 1973 and s  42(2) of the Administration of Estates Act 66 of 1965, the executors arguing that the company had mortgaged its property when in the process of being wound up and unable to pay its debts, and that the provisions of s 42(2) had not been complied with since the Master had signed a certificate permitting the transfer of the property as a result of the fraudulent misrepresentation by </w:t>
      </w:r>
      <w:r w:rsidR="00DD766A">
        <w:rPr>
          <w:rFonts w:ascii="Arial" w:hAnsi="Arial" w:cs="Arial"/>
          <w:sz w:val="24"/>
          <w:szCs w:val="24"/>
        </w:rPr>
        <w:t>Riccardo</w:t>
      </w:r>
      <w:r w:rsidRPr="00C233F7">
        <w:rPr>
          <w:rFonts w:ascii="Arial" w:hAnsi="Arial" w:cs="Arial"/>
          <w:sz w:val="24"/>
          <w:szCs w:val="24"/>
        </w:rPr>
        <w:t xml:space="preserve"> that the deed of sale of the property was genuine. </w:t>
      </w:r>
    </w:p>
    <w:p w:rsidR="00C233F7" w:rsidRPr="00C233F7" w:rsidRDefault="00C233F7" w:rsidP="000B64F1">
      <w:pPr>
        <w:spacing w:line="360" w:lineRule="auto"/>
        <w:jc w:val="both"/>
        <w:rPr>
          <w:rFonts w:ascii="Arial" w:hAnsi="Arial" w:cs="Arial"/>
          <w:sz w:val="24"/>
          <w:szCs w:val="24"/>
        </w:rPr>
      </w:pPr>
      <w:r w:rsidRPr="00C233F7">
        <w:rPr>
          <w:rFonts w:ascii="Arial" w:hAnsi="Arial" w:cs="Arial"/>
          <w:sz w:val="24"/>
          <w:szCs w:val="24"/>
        </w:rPr>
        <w:t>[6]</w:t>
      </w:r>
      <w:r w:rsidRPr="00C233F7">
        <w:rPr>
          <w:rFonts w:ascii="Arial" w:hAnsi="Arial" w:cs="Arial"/>
          <w:sz w:val="24"/>
          <w:szCs w:val="24"/>
        </w:rPr>
        <w:tab/>
        <w:t xml:space="preserve">Those causes of action were transformed at the hearing in the high court to a review in terms of the Promotion of Administrative Justice Act 3 of 2000 (PAJA). The high court (Baqwa AJ) characterized the relief sought as follows: the executors sought to review and set aside the certificate issued by the Master in terms of s 42(2) </w:t>
      </w:r>
      <w:r w:rsidRPr="00C233F7">
        <w:rPr>
          <w:rFonts w:ascii="Arial" w:hAnsi="Arial" w:cs="Arial"/>
          <w:sz w:val="24"/>
          <w:szCs w:val="24"/>
        </w:rPr>
        <w:lastRenderedPageBreak/>
        <w:t xml:space="preserve">of the Administration of Estates Act since his action had been induced by the fraud of </w:t>
      </w:r>
      <w:r w:rsidR="00DD766A">
        <w:rPr>
          <w:rFonts w:ascii="Arial" w:hAnsi="Arial" w:cs="Arial"/>
          <w:sz w:val="24"/>
          <w:szCs w:val="24"/>
        </w:rPr>
        <w:t>Riccardo</w:t>
      </w:r>
      <w:r w:rsidRPr="00C233F7">
        <w:rPr>
          <w:rFonts w:ascii="Arial" w:hAnsi="Arial" w:cs="Arial"/>
          <w:sz w:val="24"/>
          <w:szCs w:val="24"/>
        </w:rPr>
        <w:t>; the property should be returned ‘at administrative law’; and the bond should be cancelled. The high court ordered that the property should be returned to the deceased estate, not by virtue of a condictio or rei vindicatio, since the former remedy was not pursued at the hearing and the latter was mistakenly considered by the legal representatives of the executors to be unavailable to the estate, but by virtue of ‘administrative law’. The ‘decision’ of the Master in signing a certificate authorizing the transfer and (by implication) the ensuing act of the Registrar of Deeds in registering the property in the name of the company constituted ‘administrative action’ reviewable under the PAJA. I shall deal with this finding in due course.</w:t>
      </w:r>
    </w:p>
    <w:p w:rsidR="00C233F7" w:rsidRPr="00C233F7" w:rsidRDefault="00C233F7" w:rsidP="000B64F1">
      <w:pPr>
        <w:spacing w:line="360" w:lineRule="auto"/>
        <w:jc w:val="both"/>
        <w:rPr>
          <w:rFonts w:ascii="Arial" w:hAnsi="Arial" w:cs="Arial"/>
          <w:sz w:val="24"/>
          <w:szCs w:val="24"/>
        </w:rPr>
      </w:pPr>
      <w:r w:rsidRPr="00C233F7">
        <w:rPr>
          <w:rFonts w:ascii="Arial" w:hAnsi="Arial" w:cs="Arial"/>
          <w:sz w:val="24"/>
          <w:szCs w:val="24"/>
        </w:rPr>
        <w:t>[7]</w:t>
      </w:r>
      <w:r w:rsidRPr="00C233F7">
        <w:rPr>
          <w:rFonts w:ascii="Arial" w:hAnsi="Arial" w:cs="Arial"/>
          <w:sz w:val="24"/>
          <w:szCs w:val="24"/>
        </w:rPr>
        <w:tab/>
        <w:t xml:space="preserve">As the high court pointed out, Nedbank did not dispute that Evan’s conduct was fraudulent. It raised various other defences, principally that s 341(2) of the Companies Act did not entitle the executors to set aside the bond, and that the executors did not have locus standi. It argued that, in the event of those contentions failing, the court was not required to set aside the bond as being void since the only person who would derive any benefit from the relief sought was Evan who, despite being aware of the sale of the property to the company, and the registration of the bond, had taken no action to set the transactions aside. He was content, Nedbank argued, to ignore the fraud and asked only for equal representation on the board of the company. He had known of the fraudulent transactions at least since July 2007, </w:t>
      </w:r>
      <w:r w:rsidR="00B85F18">
        <w:rPr>
          <w:rFonts w:ascii="Arial" w:hAnsi="Arial" w:cs="Arial"/>
          <w:sz w:val="24"/>
          <w:szCs w:val="24"/>
        </w:rPr>
        <w:t>and had applied for the winding-</w:t>
      </w:r>
      <w:r w:rsidRPr="00C233F7">
        <w:rPr>
          <w:rFonts w:ascii="Arial" w:hAnsi="Arial" w:cs="Arial"/>
          <w:sz w:val="24"/>
          <w:szCs w:val="24"/>
        </w:rPr>
        <w:t>up of the company in 2008.</w:t>
      </w:r>
    </w:p>
    <w:p w:rsidR="00C233F7" w:rsidRPr="00C233F7" w:rsidRDefault="00C233F7" w:rsidP="000B64F1">
      <w:pPr>
        <w:spacing w:line="360" w:lineRule="auto"/>
        <w:jc w:val="both"/>
        <w:rPr>
          <w:rFonts w:ascii="Arial" w:hAnsi="Arial" w:cs="Arial"/>
          <w:sz w:val="24"/>
          <w:szCs w:val="24"/>
        </w:rPr>
      </w:pPr>
      <w:r w:rsidRPr="00C233F7">
        <w:rPr>
          <w:rFonts w:ascii="Arial" w:hAnsi="Arial" w:cs="Arial"/>
          <w:sz w:val="24"/>
          <w:szCs w:val="24"/>
        </w:rPr>
        <w:t>[8]</w:t>
      </w:r>
      <w:r w:rsidRPr="00C233F7">
        <w:rPr>
          <w:rFonts w:ascii="Arial" w:hAnsi="Arial" w:cs="Arial"/>
          <w:sz w:val="24"/>
          <w:szCs w:val="24"/>
        </w:rPr>
        <w:tab/>
        <w:t xml:space="preserve">In December 2008 the company was placed under provisional winding-up at the instance of Evan. The winding-up order was made final in April 2009. The application for winding-up was premised on s 344(h) of the Companies Act: that it would be just and equitable to wind up the company. </w:t>
      </w:r>
    </w:p>
    <w:p w:rsidR="00C233F7" w:rsidRPr="00C233F7" w:rsidRDefault="00C233F7" w:rsidP="000B64F1">
      <w:pPr>
        <w:spacing w:line="360" w:lineRule="auto"/>
        <w:jc w:val="both"/>
        <w:rPr>
          <w:rFonts w:ascii="Arial" w:hAnsi="Arial" w:cs="Arial"/>
          <w:sz w:val="24"/>
          <w:szCs w:val="24"/>
        </w:rPr>
      </w:pPr>
      <w:r w:rsidRPr="00C233F7">
        <w:rPr>
          <w:rFonts w:ascii="Arial" w:hAnsi="Arial" w:cs="Arial"/>
          <w:sz w:val="24"/>
          <w:szCs w:val="24"/>
        </w:rPr>
        <w:t>[9]</w:t>
      </w:r>
      <w:r w:rsidRPr="00C233F7">
        <w:rPr>
          <w:rFonts w:ascii="Arial" w:hAnsi="Arial" w:cs="Arial"/>
          <w:sz w:val="24"/>
          <w:szCs w:val="24"/>
        </w:rPr>
        <w:tab/>
        <w:t xml:space="preserve">The grounds for the review, said the high court, were </w:t>
      </w:r>
      <w:r w:rsidR="00DD766A">
        <w:rPr>
          <w:rFonts w:ascii="Arial" w:hAnsi="Arial" w:cs="Arial"/>
          <w:sz w:val="24"/>
          <w:szCs w:val="24"/>
        </w:rPr>
        <w:t>Riccardo</w:t>
      </w:r>
      <w:r w:rsidRPr="00C233F7">
        <w:rPr>
          <w:rFonts w:ascii="Arial" w:hAnsi="Arial" w:cs="Arial"/>
          <w:sz w:val="24"/>
          <w:szCs w:val="24"/>
        </w:rPr>
        <w:t xml:space="preserve">’s forgeries of the signature of his mother (on the deed of sale of the property) and of Evan on the consent to sale: the Master had been fraudulently induced to sign a certificate permitting the transfer of the property to the company. The Registrar of Deeds had registered the bond in favour of Imperial Bank as a result of </w:t>
      </w:r>
      <w:r w:rsidR="00DD766A">
        <w:rPr>
          <w:rFonts w:ascii="Arial" w:hAnsi="Arial" w:cs="Arial"/>
          <w:sz w:val="24"/>
          <w:szCs w:val="24"/>
        </w:rPr>
        <w:t>Riccardo</w:t>
      </w:r>
      <w:r w:rsidRPr="00C233F7">
        <w:rPr>
          <w:rFonts w:ascii="Arial" w:hAnsi="Arial" w:cs="Arial"/>
          <w:sz w:val="24"/>
          <w:szCs w:val="24"/>
        </w:rPr>
        <w:t xml:space="preserve">’s fraudulent </w:t>
      </w:r>
      <w:r w:rsidRPr="00C233F7">
        <w:rPr>
          <w:rFonts w:ascii="Arial" w:hAnsi="Arial" w:cs="Arial"/>
          <w:sz w:val="24"/>
          <w:szCs w:val="24"/>
        </w:rPr>
        <w:lastRenderedPageBreak/>
        <w:t>scheme. The Master’s certificate was thus set aside and the Registrar was ordered to transfer the property to the estate and to cancel the bond. A number of ancillary orders were also made by the high court. Nedbank, the only respondent to oppose the application and the only appellant before this court, appeals against the decision with the leave of the high court.</w:t>
      </w:r>
    </w:p>
    <w:p w:rsidR="00C233F7" w:rsidRPr="00C233F7" w:rsidRDefault="00C233F7" w:rsidP="000B64F1">
      <w:pPr>
        <w:spacing w:line="360" w:lineRule="auto"/>
        <w:jc w:val="both"/>
        <w:rPr>
          <w:rFonts w:ascii="Arial" w:hAnsi="Arial" w:cs="Arial"/>
          <w:sz w:val="24"/>
          <w:szCs w:val="24"/>
        </w:rPr>
      </w:pPr>
      <w:r w:rsidRPr="00C233F7">
        <w:rPr>
          <w:rFonts w:ascii="Arial" w:hAnsi="Arial" w:cs="Arial"/>
          <w:sz w:val="24"/>
          <w:szCs w:val="24"/>
        </w:rPr>
        <w:t>[10]</w:t>
      </w:r>
      <w:r w:rsidRPr="00C233F7">
        <w:rPr>
          <w:rFonts w:ascii="Arial" w:hAnsi="Arial" w:cs="Arial"/>
          <w:sz w:val="24"/>
          <w:szCs w:val="24"/>
        </w:rPr>
        <w:tab/>
        <w:t xml:space="preserve">Nedbank argued on appeal that the high court misconceived the relief granted: the PAJA does not make provision for vindicatory relief. A prior question, I would have thought, is whether the PAJA is applicable at all and I shall deal with that briefly. But first I shall deal with the principal issue which seems to me to form the nub of the relief that the executors have asked for. </w:t>
      </w:r>
    </w:p>
    <w:p w:rsidR="00C233F7" w:rsidRPr="00C233F7" w:rsidRDefault="00C233F7" w:rsidP="000B64F1">
      <w:pPr>
        <w:spacing w:line="360" w:lineRule="auto"/>
        <w:jc w:val="both"/>
        <w:rPr>
          <w:rFonts w:ascii="Arial" w:hAnsi="Arial" w:cs="Arial"/>
          <w:sz w:val="24"/>
          <w:szCs w:val="24"/>
        </w:rPr>
      </w:pPr>
      <w:r w:rsidRPr="00C233F7">
        <w:rPr>
          <w:rFonts w:ascii="Arial" w:hAnsi="Arial" w:cs="Arial"/>
          <w:sz w:val="24"/>
          <w:szCs w:val="24"/>
        </w:rPr>
        <w:t>[11]</w:t>
      </w:r>
      <w:r w:rsidRPr="00C233F7">
        <w:rPr>
          <w:rFonts w:ascii="Arial" w:hAnsi="Arial" w:cs="Arial"/>
          <w:sz w:val="24"/>
          <w:szCs w:val="24"/>
        </w:rPr>
        <w:tab/>
        <w:t xml:space="preserve">It is common cause that </w:t>
      </w:r>
      <w:r w:rsidR="00DD766A">
        <w:rPr>
          <w:rFonts w:ascii="Arial" w:hAnsi="Arial" w:cs="Arial"/>
          <w:sz w:val="24"/>
          <w:szCs w:val="24"/>
        </w:rPr>
        <w:t>Riccardo</w:t>
      </w:r>
      <w:r w:rsidRPr="00C233F7">
        <w:rPr>
          <w:rFonts w:ascii="Arial" w:hAnsi="Arial" w:cs="Arial"/>
          <w:sz w:val="24"/>
          <w:szCs w:val="24"/>
        </w:rPr>
        <w:t xml:space="preserve"> forged his mother’s signature on the deed of sale of the property to the company and that he forged his brother Evan’s signature on a document entitled ‘consent to sale’ that was used to induce the Master of the high court to sign a certificate that no objection to the sale was made by any beneficiary. This was necessary to enable the Registrar of Deeds to </w:t>
      </w:r>
      <w:proofErr w:type="gramStart"/>
      <w:r w:rsidRPr="00C233F7">
        <w:rPr>
          <w:rFonts w:ascii="Arial" w:hAnsi="Arial" w:cs="Arial"/>
          <w:sz w:val="24"/>
          <w:szCs w:val="24"/>
        </w:rPr>
        <w:t>effect</w:t>
      </w:r>
      <w:proofErr w:type="gramEnd"/>
      <w:r w:rsidRPr="00C233F7">
        <w:rPr>
          <w:rFonts w:ascii="Arial" w:hAnsi="Arial" w:cs="Arial"/>
          <w:sz w:val="24"/>
          <w:szCs w:val="24"/>
        </w:rPr>
        <w:t xml:space="preserve"> the transfer of the property to the company. </w:t>
      </w:r>
    </w:p>
    <w:p w:rsidR="00C233F7" w:rsidRPr="00C233F7" w:rsidRDefault="00C233F7" w:rsidP="000B64F1">
      <w:pPr>
        <w:spacing w:line="360" w:lineRule="auto"/>
        <w:jc w:val="both"/>
        <w:rPr>
          <w:rFonts w:ascii="Arial" w:hAnsi="Arial" w:cs="Arial"/>
          <w:sz w:val="24"/>
          <w:szCs w:val="24"/>
        </w:rPr>
      </w:pPr>
      <w:r w:rsidRPr="00C233F7">
        <w:rPr>
          <w:rFonts w:ascii="Arial" w:hAnsi="Arial" w:cs="Arial"/>
          <w:sz w:val="24"/>
          <w:szCs w:val="24"/>
        </w:rPr>
        <w:t>[12]</w:t>
      </w:r>
      <w:r w:rsidRPr="00C233F7">
        <w:rPr>
          <w:rFonts w:ascii="Arial" w:hAnsi="Arial" w:cs="Arial"/>
          <w:sz w:val="24"/>
          <w:szCs w:val="24"/>
        </w:rPr>
        <w:tab/>
        <w:t xml:space="preserve">It is trite that where registration of a transfer of immovable property is </w:t>
      </w:r>
      <w:proofErr w:type="gramStart"/>
      <w:r w:rsidRPr="00C233F7">
        <w:rPr>
          <w:rFonts w:ascii="Arial" w:hAnsi="Arial" w:cs="Arial"/>
          <w:sz w:val="24"/>
          <w:szCs w:val="24"/>
        </w:rPr>
        <w:t>effected</w:t>
      </w:r>
      <w:proofErr w:type="gramEnd"/>
      <w:r w:rsidRPr="00C233F7">
        <w:rPr>
          <w:rFonts w:ascii="Arial" w:hAnsi="Arial" w:cs="Arial"/>
          <w:sz w:val="24"/>
          <w:szCs w:val="24"/>
        </w:rPr>
        <w:t xml:space="preserve"> pursuant to fraud or a forged document ownership of the property does not pass to the person in whose name the property is registered after the purported transfer. Our system of deeds registration is negative: it does not guarantee the title that appears in the deeds register. Registration is ‘intended to protect the real rights of those persons in whose names such rights are registered in the Deeds Office’.</w:t>
      </w:r>
      <w:r w:rsidRPr="00C233F7">
        <w:rPr>
          <w:rStyle w:val="FootnoteReference"/>
          <w:rFonts w:ascii="Arial" w:hAnsi="Arial" w:cs="Arial"/>
          <w:sz w:val="24"/>
          <w:szCs w:val="24"/>
        </w:rPr>
        <w:footnoteReference w:id="1"/>
      </w:r>
      <w:r w:rsidRPr="00C233F7">
        <w:rPr>
          <w:rFonts w:ascii="Arial" w:hAnsi="Arial" w:cs="Arial"/>
          <w:sz w:val="24"/>
          <w:szCs w:val="24"/>
        </w:rPr>
        <w:t xml:space="preserve"> And it is a source of information about those rights.</w:t>
      </w:r>
      <w:r w:rsidR="00AE0EA8">
        <w:rPr>
          <w:rStyle w:val="FootnoteReference"/>
          <w:rFonts w:ascii="Arial" w:hAnsi="Arial"/>
          <w:sz w:val="24"/>
          <w:szCs w:val="24"/>
        </w:rPr>
        <w:footnoteReference w:id="2"/>
      </w:r>
      <w:r w:rsidRPr="00C233F7">
        <w:rPr>
          <w:rFonts w:ascii="Arial" w:hAnsi="Arial" w:cs="Arial"/>
          <w:sz w:val="24"/>
          <w:szCs w:val="24"/>
        </w:rPr>
        <w:t xml:space="preserve"> But registration does not guarantee title, and if it is </w:t>
      </w:r>
      <w:proofErr w:type="gramStart"/>
      <w:r w:rsidRPr="00C233F7">
        <w:rPr>
          <w:rFonts w:ascii="Arial" w:hAnsi="Arial" w:cs="Arial"/>
          <w:sz w:val="24"/>
          <w:szCs w:val="24"/>
        </w:rPr>
        <w:t>effected</w:t>
      </w:r>
      <w:proofErr w:type="gramEnd"/>
      <w:r w:rsidRPr="00C233F7">
        <w:rPr>
          <w:rFonts w:ascii="Arial" w:hAnsi="Arial" w:cs="Arial"/>
          <w:sz w:val="24"/>
          <w:szCs w:val="24"/>
        </w:rPr>
        <w:t xml:space="preserve"> as a result of a forged power of attorney or of fraud, then the right apparently created is no right at all. </w:t>
      </w:r>
    </w:p>
    <w:p w:rsidR="00C233F7" w:rsidRPr="00C233F7" w:rsidRDefault="00C233F7" w:rsidP="000B64F1">
      <w:pPr>
        <w:spacing w:line="360" w:lineRule="auto"/>
        <w:jc w:val="both"/>
        <w:rPr>
          <w:rFonts w:ascii="Arial" w:hAnsi="Arial" w:cs="Arial"/>
          <w:sz w:val="24"/>
          <w:szCs w:val="24"/>
        </w:rPr>
      </w:pPr>
      <w:r w:rsidRPr="00C233F7">
        <w:rPr>
          <w:rFonts w:ascii="Arial" w:hAnsi="Arial" w:cs="Arial"/>
          <w:sz w:val="24"/>
          <w:szCs w:val="24"/>
        </w:rPr>
        <w:t>[13]</w:t>
      </w:r>
      <w:r w:rsidRPr="00C233F7">
        <w:rPr>
          <w:rFonts w:ascii="Arial" w:hAnsi="Arial" w:cs="Arial"/>
          <w:sz w:val="24"/>
          <w:szCs w:val="24"/>
        </w:rPr>
        <w:tab/>
        <w:t xml:space="preserve">This court has recently reaffirmed the principle that where there is no real intention to transfer ownership on the part of the owner or one of the owners, then a purported registration of transfer (and likewise the registration of any other real right, </w:t>
      </w:r>
      <w:r w:rsidRPr="00C233F7">
        <w:rPr>
          <w:rFonts w:ascii="Arial" w:hAnsi="Arial" w:cs="Arial"/>
          <w:sz w:val="24"/>
          <w:szCs w:val="24"/>
        </w:rPr>
        <w:lastRenderedPageBreak/>
        <w:t xml:space="preserve">such as a mortgage bond) has no effect. In </w:t>
      </w:r>
      <w:r w:rsidRPr="00C233F7">
        <w:rPr>
          <w:rFonts w:ascii="Arial" w:hAnsi="Arial" w:cs="Arial"/>
          <w:i/>
          <w:sz w:val="24"/>
          <w:szCs w:val="24"/>
        </w:rPr>
        <w:t>Legator McKenna</w:t>
      </w:r>
      <w:r w:rsidR="00E002D2">
        <w:rPr>
          <w:rFonts w:ascii="Arial" w:hAnsi="Arial" w:cs="Arial"/>
          <w:i/>
          <w:sz w:val="24"/>
          <w:szCs w:val="24"/>
        </w:rPr>
        <w:t xml:space="preserve"> Inc</w:t>
      </w:r>
      <w:r w:rsidRPr="00C233F7">
        <w:rPr>
          <w:rFonts w:ascii="Arial" w:hAnsi="Arial" w:cs="Arial"/>
          <w:i/>
          <w:sz w:val="24"/>
          <w:szCs w:val="24"/>
        </w:rPr>
        <w:t xml:space="preserve"> v Shea</w:t>
      </w:r>
      <w:r w:rsidRPr="00C233F7">
        <w:rPr>
          <w:rStyle w:val="FootnoteReference"/>
          <w:rFonts w:ascii="Arial" w:hAnsi="Arial" w:cs="Arial"/>
          <w:i/>
          <w:sz w:val="24"/>
          <w:szCs w:val="24"/>
        </w:rPr>
        <w:footnoteReference w:id="3"/>
      </w:r>
      <w:r w:rsidRPr="00C233F7">
        <w:rPr>
          <w:rFonts w:ascii="Arial" w:hAnsi="Arial" w:cs="Arial"/>
          <w:sz w:val="24"/>
          <w:szCs w:val="24"/>
        </w:rPr>
        <w:t xml:space="preserve"> Brand JA confirmed, first, that the abstract theory of transfer of ownership applies to immovable property, and, second, that if there is any defect in what he termed the ‘real agreement’ – that is, the intention on the part of the transferor and the transferee to transfer and to acquire ownership of a thing respectively – then ownership will not pass despite registration. Thus while a valid underlying agreement to pass ownership, such as a sale or donation, is not required, there must nonetheless be a genuine intention to transfer ownership. This principle was unanimously approved in </w:t>
      </w:r>
      <w:r w:rsidRPr="00C233F7">
        <w:rPr>
          <w:rFonts w:ascii="Arial" w:hAnsi="Arial" w:cs="Arial"/>
          <w:i/>
          <w:sz w:val="24"/>
          <w:szCs w:val="24"/>
        </w:rPr>
        <w:t>Commissioner of Customs and Excise v Randles, Brothers and Hudson</w:t>
      </w:r>
      <w:r w:rsidR="00FC7D86">
        <w:rPr>
          <w:rFonts w:ascii="Arial" w:hAnsi="Arial" w:cs="Arial"/>
          <w:i/>
          <w:sz w:val="24"/>
          <w:szCs w:val="24"/>
        </w:rPr>
        <w:t xml:space="preserve"> Ltd</w:t>
      </w:r>
      <w:r w:rsidRPr="00C233F7">
        <w:rPr>
          <w:rStyle w:val="FootnoteReference"/>
          <w:rFonts w:ascii="Arial" w:hAnsi="Arial" w:cs="Arial"/>
          <w:sz w:val="24"/>
          <w:szCs w:val="24"/>
        </w:rPr>
        <w:footnoteReference w:id="4"/>
      </w:r>
      <w:r w:rsidRPr="00C233F7">
        <w:rPr>
          <w:rFonts w:ascii="Arial" w:hAnsi="Arial" w:cs="Arial"/>
          <w:sz w:val="24"/>
          <w:szCs w:val="24"/>
        </w:rPr>
        <w:t xml:space="preserve"> and has been followed consistently since then.</w:t>
      </w:r>
    </w:p>
    <w:p w:rsidR="00C233F7" w:rsidRPr="00C233F7" w:rsidRDefault="00C233F7" w:rsidP="000B64F1">
      <w:pPr>
        <w:spacing w:line="360" w:lineRule="auto"/>
        <w:jc w:val="both"/>
        <w:rPr>
          <w:rFonts w:ascii="Arial" w:hAnsi="Arial" w:cs="Arial"/>
          <w:sz w:val="24"/>
          <w:szCs w:val="24"/>
        </w:rPr>
      </w:pPr>
      <w:r w:rsidRPr="00C233F7">
        <w:rPr>
          <w:rFonts w:ascii="Arial" w:hAnsi="Arial" w:cs="Arial"/>
          <w:sz w:val="24"/>
          <w:szCs w:val="24"/>
        </w:rPr>
        <w:t>[14]</w:t>
      </w:r>
      <w:r w:rsidRPr="00C233F7">
        <w:rPr>
          <w:rFonts w:ascii="Arial" w:hAnsi="Arial" w:cs="Arial"/>
          <w:sz w:val="24"/>
          <w:szCs w:val="24"/>
        </w:rPr>
        <w:tab/>
        <w:t xml:space="preserve">However, if the underlying agreement is tainted by fraud or obtained by some other means that vitiates consent (such as duress or undue influence) then ownership does not pass: </w:t>
      </w:r>
      <w:r w:rsidRPr="00C233F7">
        <w:rPr>
          <w:rFonts w:ascii="Arial" w:hAnsi="Arial" w:cs="Arial"/>
          <w:i/>
          <w:sz w:val="24"/>
          <w:szCs w:val="24"/>
        </w:rPr>
        <w:t>Preller v Jordaan</w:t>
      </w:r>
      <w:r w:rsidRPr="00C233F7">
        <w:rPr>
          <w:rFonts w:ascii="Arial" w:hAnsi="Arial" w:cs="Arial"/>
          <w:sz w:val="24"/>
          <w:szCs w:val="24"/>
        </w:rPr>
        <w:t>.</w:t>
      </w:r>
      <w:r w:rsidRPr="00C233F7">
        <w:rPr>
          <w:rStyle w:val="FootnoteReference"/>
          <w:rFonts w:ascii="Arial" w:hAnsi="Arial" w:cs="Arial"/>
          <w:sz w:val="24"/>
          <w:szCs w:val="24"/>
        </w:rPr>
        <w:footnoteReference w:id="5"/>
      </w:r>
      <w:r w:rsidRPr="00C233F7">
        <w:rPr>
          <w:rFonts w:ascii="Arial" w:hAnsi="Arial" w:cs="Arial"/>
          <w:sz w:val="24"/>
          <w:szCs w:val="24"/>
        </w:rPr>
        <w:t xml:space="preserve"> That principle was applied recently by this court in </w:t>
      </w:r>
      <w:r w:rsidRPr="00C233F7">
        <w:rPr>
          <w:rFonts w:ascii="Arial" w:hAnsi="Arial" w:cs="Arial"/>
          <w:i/>
          <w:sz w:val="24"/>
          <w:szCs w:val="24"/>
        </w:rPr>
        <w:t>Meintjies</w:t>
      </w:r>
      <w:r w:rsidR="00363452">
        <w:rPr>
          <w:rFonts w:ascii="Arial" w:hAnsi="Arial" w:cs="Arial"/>
          <w:i/>
          <w:sz w:val="24"/>
          <w:szCs w:val="24"/>
        </w:rPr>
        <w:t xml:space="preserve"> NO</w:t>
      </w:r>
      <w:r w:rsidRPr="00C233F7">
        <w:rPr>
          <w:rFonts w:ascii="Arial" w:hAnsi="Arial" w:cs="Arial"/>
          <w:i/>
          <w:sz w:val="24"/>
          <w:szCs w:val="24"/>
        </w:rPr>
        <w:t xml:space="preserve"> v Coetzer</w:t>
      </w:r>
      <w:r w:rsidRPr="00C233F7">
        <w:rPr>
          <w:rStyle w:val="FootnoteReference"/>
          <w:rFonts w:ascii="Arial" w:hAnsi="Arial" w:cs="Arial"/>
          <w:sz w:val="24"/>
          <w:szCs w:val="24"/>
        </w:rPr>
        <w:footnoteReference w:id="6"/>
      </w:r>
      <w:r w:rsidRPr="00C233F7">
        <w:rPr>
          <w:rFonts w:ascii="Arial" w:hAnsi="Arial" w:cs="Arial"/>
          <w:sz w:val="24"/>
          <w:szCs w:val="24"/>
        </w:rPr>
        <w:t xml:space="preserve"> and </w:t>
      </w:r>
      <w:r w:rsidRPr="00C233F7">
        <w:rPr>
          <w:rFonts w:ascii="Arial" w:hAnsi="Arial" w:cs="Arial"/>
          <w:i/>
          <w:sz w:val="24"/>
          <w:szCs w:val="24"/>
        </w:rPr>
        <w:t>Gainsford &amp; others NNO v Tiffski Property Investments (Pty) Ltd.</w:t>
      </w:r>
      <w:r w:rsidRPr="00C233F7">
        <w:rPr>
          <w:rStyle w:val="FootnoteReference"/>
          <w:rFonts w:ascii="Arial" w:hAnsi="Arial" w:cs="Arial"/>
          <w:sz w:val="24"/>
          <w:szCs w:val="24"/>
        </w:rPr>
        <w:footnoteReference w:id="7"/>
      </w:r>
      <w:r w:rsidRPr="00C233F7">
        <w:rPr>
          <w:rFonts w:ascii="Arial" w:hAnsi="Arial" w:cs="Arial"/>
          <w:sz w:val="24"/>
          <w:szCs w:val="24"/>
        </w:rPr>
        <w:t xml:space="preserve"> </w:t>
      </w:r>
    </w:p>
    <w:p w:rsidR="00C233F7" w:rsidRPr="00C233F7" w:rsidRDefault="00C233F7" w:rsidP="000B64F1">
      <w:pPr>
        <w:spacing w:line="360" w:lineRule="auto"/>
        <w:jc w:val="both"/>
        <w:rPr>
          <w:rFonts w:ascii="Arial" w:hAnsi="Arial" w:cs="Arial"/>
          <w:sz w:val="24"/>
          <w:szCs w:val="24"/>
        </w:rPr>
      </w:pPr>
      <w:r w:rsidRPr="00C233F7">
        <w:rPr>
          <w:rFonts w:ascii="Arial" w:hAnsi="Arial" w:cs="Arial"/>
          <w:sz w:val="24"/>
          <w:szCs w:val="24"/>
        </w:rPr>
        <w:t>[15]</w:t>
      </w:r>
      <w:r w:rsidRPr="00C233F7">
        <w:rPr>
          <w:rFonts w:ascii="Arial" w:hAnsi="Arial" w:cs="Arial"/>
          <w:sz w:val="24"/>
          <w:szCs w:val="24"/>
        </w:rPr>
        <w:tab/>
        <w:t xml:space="preserve">It is clear, therefore, that when </w:t>
      </w:r>
      <w:r w:rsidR="00DD766A">
        <w:rPr>
          <w:rFonts w:ascii="Arial" w:hAnsi="Arial" w:cs="Arial"/>
          <w:sz w:val="24"/>
          <w:szCs w:val="24"/>
        </w:rPr>
        <w:t>Riccardo</w:t>
      </w:r>
      <w:r w:rsidRPr="00C233F7">
        <w:rPr>
          <w:rFonts w:ascii="Arial" w:hAnsi="Arial" w:cs="Arial"/>
          <w:sz w:val="24"/>
          <w:szCs w:val="24"/>
        </w:rPr>
        <w:t xml:space="preserve"> forged his mother’s signature on the deed of sale of the property and the signature by a beneficiary of her will, Evan, on the consent to the sale, Evan did not intend to transfer ownership of the property and that the power of attorney signed by the Master to permit the registration of transfer was vitiated by the fraud and the forgery. Ownership did not pass to the company. And accordingly the bonds registered first in favour of BoE and th</w:t>
      </w:r>
      <w:r w:rsidR="00363452">
        <w:rPr>
          <w:rFonts w:ascii="Arial" w:hAnsi="Arial" w:cs="Arial"/>
          <w:sz w:val="24"/>
          <w:szCs w:val="24"/>
        </w:rPr>
        <w:t xml:space="preserve">en Imperial Bank </w:t>
      </w:r>
      <w:proofErr w:type="gramStart"/>
      <w:r w:rsidR="00363452">
        <w:rPr>
          <w:rFonts w:ascii="Arial" w:hAnsi="Arial" w:cs="Arial"/>
          <w:sz w:val="24"/>
          <w:szCs w:val="24"/>
        </w:rPr>
        <w:t>were</w:t>
      </w:r>
      <w:proofErr w:type="gramEnd"/>
      <w:r w:rsidR="00363452">
        <w:rPr>
          <w:rFonts w:ascii="Arial" w:hAnsi="Arial" w:cs="Arial"/>
          <w:sz w:val="24"/>
          <w:szCs w:val="24"/>
        </w:rPr>
        <w:t xml:space="preserve"> not valid:</w:t>
      </w:r>
      <w:r w:rsidRPr="00C233F7">
        <w:rPr>
          <w:rFonts w:ascii="Arial" w:hAnsi="Arial" w:cs="Arial"/>
          <w:sz w:val="24"/>
          <w:szCs w:val="24"/>
        </w:rPr>
        <w:t xml:space="preserve"> </w:t>
      </w:r>
      <w:r w:rsidR="00363452">
        <w:rPr>
          <w:rFonts w:ascii="Arial" w:hAnsi="Arial" w:cs="Arial"/>
          <w:sz w:val="24"/>
          <w:szCs w:val="24"/>
        </w:rPr>
        <w:t>t</w:t>
      </w:r>
      <w:r w:rsidRPr="00C233F7">
        <w:rPr>
          <w:rFonts w:ascii="Arial" w:hAnsi="Arial" w:cs="Arial"/>
          <w:sz w:val="24"/>
          <w:szCs w:val="24"/>
        </w:rPr>
        <w:t>he company was not the owner of the property mortgaged. Nedbank cannot resist the claim of the executors for cancellation of the registration of the bond. And the executors are entitled to reregistration of the property in the name of the deceased estate.</w:t>
      </w:r>
    </w:p>
    <w:p w:rsidR="00C233F7" w:rsidRPr="00C233F7" w:rsidRDefault="00C233F7" w:rsidP="000B64F1">
      <w:pPr>
        <w:spacing w:line="360" w:lineRule="auto"/>
        <w:jc w:val="both"/>
        <w:rPr>
          <w:rFonts w:ascii="Arial" w:hAnsi="Arial" w:cs="Arial"/>
          <w:sz w:val="24"/>
          <w:szCs w:val="24"/>
        </w:rPr>
      </w:pPr>
      <w:r w:rsidRPr="00C233F7">
        <w:rPr>
          <w:rFonts w:ascii="Arial" w:hAnsi="Arial" w:cs="Arial"/>
          <w:sz w:val="24"/>
          <w:szCs w:val="24"/>
        </w:rPr>
        <w:lastRenderedPageBreak/>
        <w:t>[16]</w:t>
      </w:r>
      <w:r w:rsidRPr="00C233F7">
        <w:rPr>
          <w:rFonts w:ascii="Arial" w:hAnsi="Arial" w:cs="Arial"/>
          <w:sz w:val="24"/>
          <w:szCs w:val="24"/>
        </w:rPr>
        <w:tab/>
        <w:t xml:space="preserve">Nedbank nonetheless argued that the executors had not based their claim on ownership of the property: they had not instituted the rei vindicatio. And Evan, it contended, complained of the fraud and forgery only when precluded from having any say in the company. The elements of a rei vindicatio had not been pleaded or proved. The executors, Nedbank argued, could not deviate from the case which they had brought before the high court, and with which they had persisted before the hearing of the appeal when the principles relating to transfer were brought to their attention by this court. </w:t>
      </w:r>
    </w:p>
    <w:p w:rsidR="00C233F7" w:rsidRPr="00C233F7" w:rsidRDefault="00C233F7" w:rsidP="000B64F1">
      <w:pPr>
        <w:spacing w:line="360" w:lineRule="auto"/>
        <w:jc w:val="both"/>
        <w:rPr>
          <w:rFonts w:ascii="Arial" w:hAnsi="Arial" w:cs="Arial"/>
          <w:sz w:val="24"/>
          <w:szCs w:val="24"/>
        </w:rPr>
      </w:pPr>
      <w:r w:rsidRPr="00C233F7">
        <w:rPr>
          <w:rFonts w:ascii="Arial" w:hAnsi="Arial" w:cs="Arial"/>
          <w:sz w:val="24"/>
          <w:szCs w:val="24"/>
        </w:rPr>
        <w:t>[17]</w:t>
      </w:r>
      <w:r w:rsidRPr="00C233F7">
        <w:rPr>
          <w:rFonts w:ascii="Arial" w:hAnsi="Arial" w:cs="Arial"/>
          <w:sz w:val="24"/>
          <w:szCs w:val="24"/>
        </w:rPr>
        <w:tab/>
        <w:t xml:space="preserve">Nedbank argued that the executors were not entitled to rely on principles raised by the court mero motu. The argument ignores the authorities in this court that state that where the facts to which those principles apply are squarely raised in the papers before the court (and that were before the high court) a court should not allow the continuation of a wrong because the legal representatives of the parties did not appreciate the correct legal principles. That proposition was reiterated by Brand JA in </w:t>
      </w:r>
      <w:r w:rsidRPr="00C233F7">
        <w:rPr>
          <w:rFonts w:ascii="Arial" w:hAnsi="Arial" w:cs="Arial"/>
          <w:i/>
          <w:sz w:val="24"/>
          <w:szCs w:val="24"/>
        </w:rPr>
        <w:t xml:space="preserve">Cuninghame v First Ready Development </w:t>
      </w:r>
      <w:r w:rsidR="00BC5C5D">
        <w:rPr>
          <w:rFonts w:ascii="Arial" w:hAnsi="Arial" w:cs="Arial"/>
          <w:i/>
          <w:sz w:val="24"/>
          <w:szCs w:val="24"/>
        </w:rPr>
        <w:t xml:space="preserve">249 </w:t>
      </w:r>
      <w:r w:rsidRPr="00C233F7">
        <w:rPr>
          <w:rFonts w:ascii="Arial" w:hAnsi="Arial" w:cs="Arial"/>
          <w:i/>
          <w:sz w:val="24"/>
          <w:szCs w:val="24"/>
        </w:rPr>
        <w:t>(Association Incorporated under section 21),</w:t>
      </w:r>
      <w:r w:rsidRPr="00C233F7">
        <w:rPr>
          <w:rStyle w:val="FootnoteReference"/>
          <w:rFonts w:ascii="Arial" w:hAnsi="Arial" w:cs="Arial"/>
          <w:sz w:val="24"/>
          <w:szCs w:val="24"/>
        </w:rPr>
        <w:footnoteReference w:id="8"/>
      </w:r>
      <w:r w:rsidRPr="00C233F7">
        <w:rPr>
          <w:rFonts w:ascii="Arial" w:hAnsi="Arial" w:cs="Arial"/>
          <w:sz w:val="24"/>
          <w:szCs w:val="24"/>
        </w:rPr>
        <w:t xml:space="preserve"> relying on </w:t>
      </w:r>
      <w:r w:rsidRPr="00C233F7">
        <w:rPr>
          <w:rFonts w:ascii="Arial" w:hAnsi="Arial" w:cs="Arial"/>
          <w:i/>
          <w:sz w:val="24"/>
          <w:szCs w:val="24"/>
        </w:rPr>
        <w:t>Thompson v South African Broadcasting Corporation</w:t>
      </w:r>
      <w:r w:rsidRPr="00C233F7">
        <w:rPr>
          <w:rStyle w:val="FootnoteReference"/>
          <w:rFonts w:ascii="Arial" w:hAnsi="Arial" w:cs="Arial"/>
          <w:sz w:val="24"/>
          <w:szCs w:val="24"/>
        </w:rPr>
        <w:footnoteReference w:id="9"/>
      </w:r>
      <w:r w:rsidRPr="00C233F7">
        <w:rPr>
          <w:rFonts w:ascii="Arial" w:hAnsi="Arial" w:cs="Arial"/>
          <w:sz w:val="24"/>
          <w:szCs w:val="24"/>
        </w:rPr>
        <w:t xml:space="preserve"> where Harms JA said:</w:t>
      </w:r>
    </w:p>
    <w:p w:rsidR="00C233F7" w:rsidRPr="00BC5C5D" w:rsidRDefault="00C233F7" w:rsidP="000B64F1">
      <w:pPr>
        <w:spacing w:line="360" w:lineRule="auto"/>
        <w:jc w:val="both"/>
        <w:rPr>
          <w:rFonts w:ascii="Arial" w:hAnsi="Arial" w:cs="Arial"/>
        </w:rPr>
      </w:pPr>
      <w:r w:rsidRPr="00BC5C5D">
        <w:rPr>
          <w:rFonts w:ascii="Arial" w:hAnsi="Arial" w:cs="Arial"/>
        </w:rPr>
        <w:t>‘The function of oral argument, especially in a Court of appeal, is supplementary to the written argument. If a party chooses not to raise an obvious issue in his heads</w:t>
      </w:r>
      <w:r w:rsidR="00D87665">
        <w:rPr>
          <w:rFonts w:ascii="Arial" w:hAnsi="Arial" w:cs="Arial"/>
        </w:rPr>
        <w:t>, he does so at his peril. The C</w:t>
      </w:r>
      <w:r w:rsidRPr="00BC5C5D">
        <w:rPr>
          <w:rFonts w:ascii="Arial" w:hAnsi="Arial" w:cs="Arial"/>
        </w:rPr>
        <w:t xml:space="preserve">ourt is entitled to base its judgment and to make findings in relation to any matter flowing fairly from the record, the judgment, </w:t>
      </w:r>
      <w:proofErr w:type="gramStart"/>
      <w:r w:rsidRPr="00BC5C5D">
        <w:rPr>
          <w:rFonts w:ascii="Arial" w:hAnsi="Arial" w:cs="Arial"/>
        </w:rPr>
        <w:t>the</w:t>
      </w:r>
      <w:proofErr w:type="gramEnd"/>
      <w:r w:rsidRPr="00BC5C5D">
        <w:rPr>
          <w:rFonts w:ascii="Arial" w:hAnsi="Arial" w:cs="Arial"/>
        </w:rPr>
        <w:t xml:space="preserve"> heads of argument or the oral argument itself. If the parties have to be forewarned of each and every finding, the Court will not be able to function.’</w:t>
      </w:r>
    </w:p>
    <w:p w:rsidR="00C233F7" w:rsidRPr="00C233F7" w:rsidRDefault="00C233F7" w:rsidP="000B64F1">
      <w:pPr>
        <w:spacing w:line="360" w:lineRule="auto"/>
        <w:jc w:val="both"/>
        <w:rPr>
          <w:rFonts w:ascii="Arial" w:hAnsi="Arial" w:cs="Arial"/>
          <w:sz w:val="24"/>
          <w:szCs w:val="24"/>
        </w:rPr>
      </w:pPr>
      <w:r w:rsidRPr="00C233F7">
        <w:rPr>
          <w:rFonts w:ascii="Arial" w:hAnsi="Arial" w:cs="Arial"/>
          <w:sz w:val="24"/>
          <w:szCs w:val="24"/>
        </w:rPr>
        <w:t>[18]</w:t>
      </w:r>
      <w:r w:rsidRPr="00C233F7">
        <w:rPr>
          <w:rFonts w:ascii="Arial" w:hAnsi="Arial" w:cs="Arial"/>
          <w:sz w:val="24"/>
          <w:szCs w:val="24"/>
        </w:rPr>
        <w:tab/>
        <w:t xml:space="preserve">This principle was expressed as follows by the </w:t>
      </w:r>
      <w:smartTag w:uri="urn:schemas-microsoft-com:office:smarttags" w:element="Street">
        <w:smartTag w:uri="urn:schemas-microsoft-com:office:smarttags" w:element="address">
          <w:r w:rsidRPr="00C233F7">
            <w:rPr>
              <w:rFonts w:ascii="Arial" w:hAnsi="Arial" w:cs="Arial"/>
              <w:sz w:val="24"/>
              <w:szCs w:val="24"/>
            </w:rPr>
            <w:t>Constitutional Court</w:t>
          </w:r>
        </w:smartTag>
      </w:smartTag>
      <w:r w:rsidRPr="00C233F7">
        <w:rPr>
          <w:rFonts w:ascii="Arial" w:hAnsi="Arial" w:cs="Arial"/>
          <w:sz w:val="24"/>
          <w:szCs w:val="24"/>
        </w:rPr>
        <w:t xml:space="preserve"> in </w:t>
      </w:r>
      <w:r w:rsidRPr="00C233F7">
        <w:rPr>
          <w:rFonts w:ascii="Arial" w:hAnsi="Arial" w:cs="Arial"/>
          <w:i/>
          <w:sz w:val="24"/>
          <w:szCs w:val="24"/>
        </w:rPr>
        <w:t>CUSA v Tao Ying Metal Industries:</w:t>
      </w:r>
      <w:r w:rsidRPr="00BC5C5D">
        <w:rPr>
          <w:rStyle w:val="FootnoteReference"/>
          <w:rFonts w:ascii="Arial" w:hAnsi="Arial" w:cs="Arial"/>
          <w:sz w:val="24"/>
          <w:szCs w:val="24"/>
        </w:rPr>
        <w:footnoteReference w:id="10"/>
      </w:r>
    </w:p>
    <w:p w:rsidR="00C233F7" w:rsidRPr="00BC5C5D" w:rsidRDefault="00C233F7" w:rsidP="000B64F1">
      <w:pPr>
        <w:spacing w:line="360" w:lineRule="auto"/>
        <w:jc w:val="both"/>
        <w:rPr>
          <w:rFonts w:ascii="Arial" w:hAnsi="Arial" w:cs="Arial"/>
        </w:rPr>
      </w:pPr>
      <w:r w:rsidRPr="00BC5C5D">
        <w:rPr>
          <w:rFonts w:ascii="Arial" w:hAnsi="Arial" w:cs="Arial"/>
        </w:rPr>
        <w:t xml:space="preserve">‘Where a point of law is apparent on the papers, but the common approach of the parties proceeds on a wrong perception of what the law is, a court is not only entitled, but is in fact also obliged, </w:t>
      </w:r>
      <w:r w:rsidRPr="00BC5C5D">
        <w:rPr>
          <w:rFonts w:ascii="Arial" w:hAnsi="Arial" w:cs="Arial"/>
          <w:i/>
        </w:rPr>
        <w:t>mero motu,</w:t>
      </w:r>
      <w:r w:rsidRPr="00BC5C5D">
        <w:rPr>
          <w:rFonts w:ascii="Arial" w:hAnsi="Arial" w:cs="Arial"/>
        </w:rPr>
        <w:t xml:space="preserve"> to raise the point of law and require the parties to deal therewith. </w:t>
      </w:r>
      <w:r w:rsidRPr="00BC5C5D">
        <w:rPr>
          <w:rFonts w:ascii="Arial" w:hAnsi="Arial" w:cs="Arial"/>
        </w:rPr>
        <w:lastRenderedPageBreak/>
        <w:t>Otherwise the result would be a decision premised on an incorrect application of the law. That would infringe the principle of legality.’</w:t>
      </w:r>
    </w:p>
    <w:p w:rsidR="00C233F7" w:rsidRPr="00C233F7" w:rsidRDefault="00C233F7" w:rsidP="000B64F1">
      <w:pPr>
        <w:spacing w:line="360" w:lineRule="auto"/>
        <w:jc w:val="both"/>
        <w:rPr>
          <w:rFonts w:ascii="Arial" w:hAnsi="Arial" w:cs="Arial"/>
          <w:sz w:val="24"/>
          <w:szCs w:val="24"/>
        </w:rPr>
      </w:pPr>
      <w:r w:rsidRPr="00C233F7">
        <w:rPr>
          <w:rFonts w:ascii="Arial" w:hAnsi="Arial" w:cs="Arial"/>
          <w:sz w:val="24"/>
          <w:szCs w:val="24"/>
        </w:rPr>
        <w:t>[19]</w:t>
      </w:r>
      <w:r w:rsidRPr="00C233F7">
        <w:rPr>
          <w:rFonts w:ascii="Arial" w:hAnsi="Arial" w:cs="Arial"/>
          <w:sz w:val="24"/>
          <w:szCs w:val="24"/>
        </w:rPr>
        <w:tab/>
        <w:t xml:space="preserve">The elements of the rei vindicatio appear clearly in the papers and are not disputed. The executors alleged that the estate acquired ownership of the property on the death of Mrs Valente; that registration in the name of the company was procured through the fraud and forgery of </w:t>
      </w:r>
      <w:r w:rsidR="00DD766A">
        <w:rPr>
          <w:rFonts w:ascii="Arial" w:hAnsi="Arial" w:cs="Arial"/>
          <w:sz w:val="24"/>
          <w:szCs w:val="24"/>
        </w:rPr>
        <w:t>Riccardo</w:t>
      </w:r>
      <w:r w:rsidRPr="00C233F7">
        <w:rPr>
          <w:rFonts w:ascii="Arial" w:hAnsi="Arial" w:cs="Arial"/>
          <w:sz w:val="24"/>
          <w:szCs w:val="24"/>
        </w:rPr>
        <w:t xml:space="preserve">, and that it was entitled to the return (the reregistration in the name of the estate) of the property. No more needed to have been pleaded. </w:t>
      </w:r>
    </w:p>
    <w:p w:rsidR="00C233F7" w:rsidRPr="00C233F7" w:rsidRDefault="00C233F7" w:rsidP="000B64F1">
      <w:pPr>
        <w:spacing w:line="360" w:lineRule="auto"/>
        <w:jc w:val="both"/>
        <w:rPr>
          <w:rFonts w:ascii="Arial" w:hAnsi="Arial" w:cs="Arial"/>
          <w:sz w:val="24"/>
          <w:szCs w:val="24"/>
        </w:rPr>
      </w:pPr>
      <w:r w:rsidRPr="00C233F7">
        <w:rPr>
          <w:rFonts w:ascii="Arial" w:hAnsi="Arial" w:cs="Arial"/>
          <w:sz w:val="24"/>
          <w:szCs w:val="24"/>
        </w:rPr>
        <w:t>[20]</w:t>
      </w:r>
      <w:r w:rsidRPr="00C233F7">
        <w:rPr>
          <w:rFonts w:ascii="Arial" w:hAnsi="Arial" w:cs="Arial"/>
          <w:sz w:val="24"/>
          <w:szCs w:val="24"/>
        </w:rPr>
        <w:tab/>
        <w:t xml:space="preserve">Nedbank argued nonetheless that the application was a sham: that the executors were the alter ego of Evan who should have instituted action himself to set aside the various transactions. Evan, it contended, had been aware of the fraud and forgery committed by his brother and had been content to ignore it for several years. That he sought to liquidate the company was not any indication that he wished to claim return of his share of the property. But Nedbank has not shown that the executors are mala fide or that they wish to condone the unlawful conduct of </w:t>
      </w:r>
      <w:r w:rsidR="00DD766A">
        <w:rPr>
          <w:rFonts w:ascii="Arial" w:hAnsi="Arial" w:cs="Arial"/>
          <w:sz w:val="24"/>
          <w:szCs w:val="24"/>
        </w:rPr>
        <w:t>Riccardo</w:t>
      </w:r>
      <w:r w:rsidRPr="00C233F7">
        <w:rPr>
          <w:rFonts w:ascii="Arial" w:hAnsi="Arial" w:cs="Arial"/>
          <w:sz w:val="24"/>
          <w:szCs w:val="24"/>
        </w:rPr>
        <w:t xml:space="preserve">. </w:t>
      </w:r>
    </w:p>
    <w:p w:rsidR="00C233F7" w:rsidRPr="00C233F7" w:rsidRDefault="00C233F7" w:rsidP="000B64F1">
      <w:pPr>
        <w:spacing w:line="360" w:lineRule="auto"/>
        <w:jc w:val="both"/>
        <w:rPr>
          <w:rFonts w:ascii="Arial" w:hAnsi="Arial" w:cs="Arial"/>
          <w:sz w:val="24"/>
          <w:szCs w:val="24"/>
        </w:rPr>
      </w:pPr>
      <w:r w:rsidRPr="00C233F7">
        <w:rPr>
          <w:rFonts w:ascii="Arial" w:hAnsi="Arial" w:cs="Arial"/>
          <w:sz w:val="24"/>
          <w:szCs w:val="24"/>
        </w:rPr>
        <w:t>[21]</w:t>
      </w:r>
      <w:r w:rsidRPr="00C233F7">
        <w:rPr>
          <w:rFonts w:ascii="Arial" w:hAnsi="Arial" w:cs="Arial"/>
          <w:sz w:val="24"/>
          <w:szCs w:val="24"/>
        </w:rPr>
        <w:tab/>
        <w:t xml:space="preserve">Nor can this court condone the fraud in the exercise of some discretion that Nedbank urges that we have. That is clear from the dictum of the Constitutional Court set out above, as well as from this court’s decision in </w:t>
      </w:r>
      <w:r w:rsidRPr="00C233F7">
        <w:rPr>
          <w:rFonts w:ascii="Arial" w:hAnsi="Arial" w:cs="Arial"/>
          <w:i/>
          <w:sz w:val="24"/>
          <w:szCs w:val="24"/>
        </w:rPr>
        <w:t>Meintjies</w:t>
      </w:r>
      <w:r w:rsidR="00BC5C5D">
        <w:rPr>
          <w:rFonts w:ascii="Arial" w:hAnsi="Arial" w:cs="Arial"/>
          <w:i/>
          <w:sz w:val="24"/>
          <w:szCs w:val="24"/>
        </w:rPr>
        <w:t xml:space="preserve"> NO</w:t>
      </w:r>
      <w:r w:rsidRPr="00C233F7">
        <w:rPr>
          <w:rFonts w:ascii="Arial" w:hAnsi="Arial" w:cs="Arial"/>
          <w:i/>
          <w:sz w:val="24"/>
          <w:szCs w:val="24"/>
        </w:rPr>
        <w:t xml:space="preserve"> v Coetzer</w:t>
      </w:r>
      <w:r w:rsidRPr="00C233F7">
        <w:rPr>
          <w:rStyle w:val="FootnoteReference"/>
          <w:rFonts w:ascii="Arial" w:hAnsi="Arial" w:cs="Arial"/>
          <w:i/>
          <w:sz w:val="24"/>
          <w:szCs w:val="24"/>
        </w:rPr>
        <w:footnoteReference w:id="11"/>
      </w:r>
      <w:r w:rsidRPr="00C233F7">
        <w:rPr>
          <w:rFonts w:ascii="Arial" w:hAnsi="Arial" w:cs="Arial"/>
          <w:sz w:val="24"/>
          <w:szCs w:val="24"/>
        </w:rPr>
        <w:t xml:space="preserve"> where Shongwe JA said that where the ‘real agreement’ was falsified and the defendants effectively asked the court to countenance the fraud (by recognizing a waiver of the right to rely on it) such conduct would be contrary to public policy. He said, referring to the request to recognize the </w:t>
      </w:r>
      <w:proofErr w:type="gramStart"/>
      <w:r w:rsidRPr="00C233F7">
        <w:rPr>
          <w:rFonts w:ascii="Arial" w:hAnsi="Arial" w:cs="Arial"/>
          <w:sz w:val="24"/>
          <w:szCs w:val="24"/>
        </w:rPr>
        <w:t>waiver, that</w:t>
      </w:r>
      <w:proofErr w:type="gramEnd"/>
      <w:r w:rsidRPr="00C233F7">
        <w:rPr>
          <w:rFonts w:ascii="Arial" w:hAnsi="Arial" w:cs="Arial"/>
          <w:sz w:val="24"/>
          <w:szCs w:val="24"/>
        </w:rPr>
        <w:t xml:space="preserve"> the parties were asking this court ‘to give life to an illegal and fraudulently obtained right’, which would be contrary to the values enshrined in the Constitution and to public policy.</w:t>
      </w:r>
    </w:p>
    <w:p w:rsidR="00C233F7" w:rsidRPr="00C233F7" w:rsidRDefault="00C233F7" w:rsidP="000B64F1">
      <w:pPr>
        <w:spacing w:line="360" w:lineRule="auto"/>
        <w:jc w:val="both"/>
        <w:rPr>
          <w:rFonts w:ascii="Arial" w:hAnsi="Arial" w:cs="Arial"/>
          <w:sz w:val="24"/>
          <w:szCs w:val="24"/>
        </w:rPr>
      </w:pPr>
      <w:r w:rsidRPr="00C233F7">
        <w:rPr>
          <w:rFonts w:ascii="Arial" w:hAnsi="Arial" w:cs="Arial"/>
          <w:sz w:val="24"/>
          <w:szCs w:val="24"/>
        </w:rPr>
        <w:t>[22]</w:t>
      </w:r>
      <w:r w:rsidRPr="00C233F7">
        <w:rPr>
          <w:rFonts w:ascii="Arial" w:hAnsi="Arial" w:cs="Arial"/>
          <w:sz w:val="24"/>
          <w:szCs w:val="24"/>
        </w:rPr>
        <w:tab/>
        <w:t xml:space="preserve">I conclude therefore that the executors must succeed in their claim for the registration of the property in the name of the deceased estate and for the cancellation of the bond in favour of Nedbank. There is thus no need to deal with the other defences raised by Nedbank. But I do wish to say something more about the </w:t>
      </w:r>
      <w:r w:rsidRPr="00C233F7">
        <w:rPr>
          <w:rFonts w:ascii="Arial" w:hAnsi="Arial" w:cs="Arial"/>
          <w:sz w:val="24"/>
          <w:szCs w:val="24"/>
        </w:rPr>
        <w:lastRenderedPageBreak/>
        <w:t>finding of the high court that the conduct of the Master and of the Registrar of Deeds amounted to administrative action which was subject to review.</w:t>
      </w:r>
    </w:p>
    <w:p w:rsidR="00C233F7" w:rsidRPr="00C233F7" w:rsidRDefault="00C233F7" w:rsidP="000B64F1">
      <w:pPr>
        <w:spacing w:line="360" w:lineRule="auto"/>
        <w:jc w:val="both"/>
        <w:rPr>
          <w:rFonts w:ascii="Arial" w:hAnsi="Arial" w:cs="Arial"/>
          <w:sz w:val="24"/>
          <w:szCs w:val="24"/>
        </w:rPr>
      </w:pPr>
      <w:r w:rsidRPr="00C233F7">
        <w:rPr>
          <w:rFonts w:ascii="Arial" w:hAnsi="Arial" w:cs="Arial"/>
          <w:sz w:val="24"/>
          <w:szCs w:val="24"/>
        </w:rPr>
        <w:t>[23]</w:t>
      </w:r>
      <w:r w:rsidRPr="00C233F7">
        <w:rPr>
          <w:rFonts w:ascii="Arial" w:hAnsi="Arial" w:cs="Arial"/>
          <w:sz w:val="24"/>
          <w:szCs w:val="24"/>
        </w:rPr>
        <w:tab/>
        <w:t xml:space="preserve">The executors argued in the high court that the conduct of the Master and of the Registrar of Deeds amounted to administrative action reviewable under the PAJA. And the basis of the orders granted by the high court was indeed that because the action of the state officials was induced by the fraud of </w:t>
      </w:r>
      <w:r w:rsidR="00DD766A">
        <w:rPr>
          <w:rFonts w:ascii="Arial" w:hAnsi="Arial" w:cs="Arial"/>
          <w:sz w:val="24"/>
          <w:szCs w:val="24"/>
        </w:rPr>
        <w:t>Riccardo</w:t>
      </w:r>
      <w:r w:rsidRPr="00C233F7">
        <w:rPr>
          <w:rFonts w:ascii="Arial" w:hAnsi="Arial" w:cs="Arial"/>
          <w:sz w:val="24"/>
          <w:szCs w:val="24"/>
        </w:rPr>
        <w:t>, the Master’s certificate, the transfer of the property to the company and the registration of the bond in favour of Nedbank should be set aside by virtue of sections 6 and 7 of the PAJA.</w:t>
      </w:r>
    </w:p>
    <w:p w:rsidR="00C233F7" w:rsidRPr="00C233F7" w:rsidRDefault="00C233F7" w:rsidP="000B64F1">
      <w:pPr>
        <w:spacing w:line="360" w:lineRule="auto"/>
        <w:jc w:val="both"/>
        <w:rPr>
          <w:rFonts w:ascii="Arial" w:hAnsi="Arial" w:cs="Arial"/>
          <w:sz w:val="24"/>
          <w:szCs w:val="24"/>
        </w:rPr>
      </w:pPr>
      <w:r w:rsidRPr="00C233F7">
        <w:rPr>
          <w:rFonts w:ascii="Arial" w:hAnsi="Arial" w:cs="Arial"/>
          <w:sz w:val="24"/>
          <w:szCs w:val="24"/>
        </w:rPr>
        <w:t>[24]</w:t>
      </w:r>
      <w:r w:rsidRPr="00C233F7">
        <w:rPr>
          <w:rFonts w:ascii="Arial" w:hAnsi="Arial" w:cs="Arial"/>
          <w:sz w:val="24"/>
          <w:szCs w:val="24"/>
        </w:rPr>
        <w:tab/>
        <w:t xml:space="preserve">As I said in </w:t>
      </w:r>
      <w:r w:rsidRPr="00C233F7">
        <w:rPr>
          <w:rFonts w:ascii="Arial" w:hAnsi="Arial" w:cs="Arial"/>
          <w:i/>
          <w:sz w:val="24"/>
          <w:szCs w:val="24"/>
        </w:rPr>
        <w:t>Kuzwayo v Estate Late Masilela</w:t>
      </w:r>
      <w:r w:rsidRPr="00C233F7">
        <w:rPr>
          <w:rFonts w:ascii="Arial" w:hAnsi="Arial" w:cs="Arial"/>
          <w:sz w:val="24"/>
          <w:szCs w:val="24"/>
        </w:rPr>
        <w:t>,</w:t>
      </w:r>
      <w:r w:rsidRPr="00C233F7">
        <w:rPr>
          <w:rStyle w:val="FootnoteReference"/>
          <w:rFonts w:ascii="Arial" w:hAnsi="Arial" w:cs="Arial"/>
          <w:sz w:val="24"/>
          <w:szCs w:val="24"/>
        </w:rPr>
        <w:footnoteReference w:id="12"/>
      </w:r>
      <w:r w:rsidRPr="00C233F7">
        <w:rPr>
          <w:rFonts w:ascii="Arial" w:hAnsi="Arial" w:cs="Arial"/>
          <w:sz w:val="24"/>
          <w:szCs w:val="24"/>
        </w:rPr>
        <w:t xml:space="preserve"> not ‘every act of an official amounts to administrative action that is reviewable under PAJA or otherwise’. I found there that the act of signing a declaration by a Director-General of the Department of Housing to the effect that a site permit be converted into the right of ownership, and the signing of the deed of transfer giving effect to that declaration, were simply clerical acts. </w:t>
      </w:r>
    </w:p>
    <w:p w:rsidR="00C233F7" w:rsidRPr="00C233F7" w:rsidRDefault="00C233F7" w:rsidP="000B64F1">
      <w:pPr>
        <w:spacing w:line="360" w:lineRule="auto"/>
        <w:jc w:val="both"/>
        <w:rPr>
          <w:rFonts w:ascii="Arial" w:hAnsi="Arial" w:cs="Arial"/>
          <w:sz w:val="24"/>
          <w:szCs w:val="24"/>
        </w:rPr>
      </w:pPr>
      <w:r w:rsidRPr="00C233F7">
        <w:rPr>
          <w:rFonts w:ascii="Arial" w:hAnsi="Arial" w:cs="Arial"/>
          <w:sz w:val="24"/>
          <w:szCs w:val="24"/>
        </w:rPr>
        <w:t>[25]</w:t>
      </w:r>
      <w:r w:rsidRPr="00C233F7">
        <w:rPr>
          <w:rFonts w:ascii="Arial" w:hAnsi="Arial" w:cs="Arial"/>
          <w:sz w:val="24"/>
          <w:szCs w:val="24"/>
        </w:rPr>
        <w:tab/>
        <w:t>Administrative action entails a decision, or a failure to make a decision, by a functionary</w:t>
      </w:r>
      <w:r w:rsidR="00BC5C5D">
        <w:rPr>
          <w:rFonts w:ascii="Arial" w:hAnsi="Arial" w:cs="Arial"/>
          <w:sz w:val="24"/>
          <w:szCs w:val="24"/>
        </w:rPr>
        <w:t>,</w:t>
      </w:r>
      <w:r w:rsidRPr="00C233F7">
        <w:rPr>
          <w:rFonts w:ascii="Arial" w:hAnsi="Arial" w:cs="Arial"/>
          <w:sz w:val="24"/>
          <w:szCs w:val="24"/>
        </w:rPr>
        <w:t xml:space="preserve"> and which has a direct legal effect on an individual.</w:t>
      </w:r>
      <w:r w:rsidRPr="00C233F7">
        <w:rPr>
          <w:rStyle w:val="FootnoteReference"/>
          <w:rFonts w:ascii="Arial" w:hAnsi="Arial" w:cs="Arial"/>
          <w:sz w:val="24"/>
          <w:szCs w:val="24"/>
        </w:rPr>
        <w:footnoteReference w:id="13"/>
      </w:r>
      <w:r w:rsidRPr="00C233F7">
        <w:rPr>
          <w:rFonts w:ascii="Arial" w:hAnsi="Arial" w:cs="Arial"/>
          <w:sz w:val="24"/>
          <w:szCs w:val="24"/>
        </w:rPr>
        <w:t xml:space="preserve"> A decision must entail some form of choice or evaluation. Thus while both the Master and the Registrar of Deeds may perform administrative acts in the course of their statutory duties, where they have no decision-making function but perform acts that are purely clerical and which they are required to do in terms of the statute that so empowers them, they are not performing administrative acts within the definition of the PAJA or even under the common law. As Nugent JA said in </w:t>
      </w:r>
      <w:r w:rsidRPr="00C233F7">
        <w:rPr>
          <w:rFonts w:ascii="Arial" w:hAnsi="Arial" w:cs="Arial"/>
          <w:i/>
          <w:sz w:val="24"/>
          <w:szCs w:val="24"/>
        </w:rPr>
        <w:t>Grey’s Marine</w:t>
      </w:r>
      <w:r w:rsidRPr="00C233F7">
        <w:rPr>
          <w:rFonts w:ascii="Arial" w:hAnsi="Arial" w:cs="Arial"/>
          <w:sz w:val="24"/>
          <w:szCs w:val="24"/>
        </w:rPr>
        <w:t xml:space="preserve"> ‘</w:t>
      </w:r>
      <w:r w:rsidR="00BC5C5D">
        <w:rPr>
          <w:rFonts w:ascii="Arial" w:hAnsi="Arial" w:cs="Arial"/>
          <w:sz w:val="24"/>
          <w:szCs w:val="24"/>
        </w:rPr>
        <w:t>[</w:t>
      </w:r>
      <w:r w:rsidRPr="00C233F7">
        <w:rPr>
          <w:rFonts w:ascii="Arial" w:hAnsi="Arial" w:cs="Arial"/>
          <w:sz w:val="24"/>
          <w:szCs w:val="24"/>
        </w:rPr>
        <w:t>w</w:t>
      </w:r>
      <w:r w:rsidR="00BC5C5D">
        <w:rPr>
          <w:rFonts w:ascii="Arial" w:hAnsi="Arial" w:cs="Arial"/>
          <w:sz w:val="24"/>
          <w:szCs w:val="24"/>
        </w:rPr>
        <w:t>]</w:t>
      </w:r>
      <w:r w:rsidRPr="00C233F7">
        <w:rPr>
          <w:rFonts w:ascii="Arial" w:hAnsi="Arial" w:cs="Arial"/>
          <w:sz w:val="24"/>
          <w:szCs w:val="24"/>
        </w:rPr>
        <w:t xml:space="preserve">hether particular conduct constitutes administrative action depends primarily on the nature </w:t>
      </w:r>
      <w:r w:rsidRPr="00C233F7">
        <w:rPr>
          <w:rFonts w:ascii="Arial" w:hAnsi="Arial" w:cs="Arial"/>
          <w:sz w:val="24"/>
          <w:szCs w:val="24"/>
        </w:rPr>
        <w:lastRenderedPageBreak/>
        <w:t>of the power that is being exercised rather than upon the identity o</w:t>
      </w:r>
      <w:r w:rsidR="00BC5C5D">
        <w:rPr>
          <w:rFonts w:ascii="Arial" w:hAnsi="Arial" w:cs="Arial"/>
          <w:sz w:val="24"/>
          <w:szCs w:val="24"/>
        </w:rPr>
        <w:t>f the person who does so . . .</w:t>
      </w:r>
      <w:proofErr w:type="gramStart"/>
      <w:r w:rsidR="00BC5C5D">
        <w:rPr>
          <w:rFonts w:ascii="Arial" w:hAnsi="Arial" w:cs="Arial"/>
          <w:sz w:val="24"/>
          <w:szCs w:val="24"/>
        </w:rPr>
        <w:t>’</w:t>
      </w:r>
      <w:r w:rsidRPr="00C233F7">
        <w:rPr>
          <w:rFonts w:ascii="Arial" w:hAnsi="Arial" w:cs="Arial"/>
          <w:sz w:val="24"/>
          <w:szCs w:val="24"/>
        </w:rPr>
        <w:t>.</w:t>
      </w:r>
      <w:proofErr w:type="gramEnd"/>
      <w:r w:rsidRPr="00C233F7">
        <w:rPr>
          <w:rStyle w:val="FootnoteReference"/>
          <w:rFonts w:ascii="Arial" w:hAnsi="Arial" w:cs="Arial"/>
          <w:sz w:val="24"/>
          <w:szCs w:val="24"/>
        </w:rPr>
        <w:footnoteReference w:id="14"/>
      </w:r>
    </w:p>
    <w:p w:rsidR="00C233F7" w:rsidRPr="00C233F7" w:rsidRDefault="00C233F7" w:rsidP="000B64F1">
      <w:pPr>
        <w:spacing w:line="360" w:lineRule="auto"/>
        <w:jc w:val="both"/>
        <w:rPr>
          <w:rFonts w:ascii="Arial" w:hAnsi="Arial" w:cs="Arial"/>
          <w:sz w:val="24"/>
          <w:szCs w:val="24"/>
        </w:rPr>
      </w:pPr>
      <w:r w:rsidRPr="00C233F7">
        <w:rPr>
          <w:rFonts w:ascii="Arial" w:hAnsi="Arial" w:cs="Arial"/>
          <w:sz w:val="24"/>
          <w:szCs w:val="24"/>
        </w:rPr>
        <w:t>[26]</w:t>
      </w:r>
      <w:r w:rsidRPr="00C233F7">
        <w:rPr>
          <w:rFonts w:ascii="Arial" w:hAnsi="Arial" w:cs="Arial"/>
          <w:sz w:val="24"/>
          <w:szCs w:val="24"/>
        </w:rPr>
        <w:tab/>
        <w:t>A distinction must thus be drawn between discretionary powers and mechanical powers. Professor Hoexter points out</w:t>
      </w:r>
      <w:r w:rsidRPr="00C233F7">
        <w:rPr>
          <w:rStyle w:val="FootnoteReference"/>
          <w:rFonts w:ascii="Arial" w:hAnsi="Arial" w:cs="Arial"/>
          <w:sz w:val="24"/>
          <w:szCs w:val="24"/>
        </w:rPr>
        <w:footnoteReference w:id="15"/>
      </w:r>
      <w:r w:rsidRPr="00C233F7">
        <w:rPr>
          <w:rFonts w:ascii="Arial" w:hAnsi="Arial" w:cs="Arial"/>
          <w:sz w:val="24"/>
          <w:szCs w:val="24"/>
        </w:rPr>
        <w:t xml:space="preserve"> that a mechanical power involves no choice on the part of the holder of the power. A discretionary power, on the other hand, does impose such a choice. Whether the Master or the Registrar exercises a mechanical power or one that is discretionary involves an enquiry as to what he or she is called upon to do. There may be situations where the functionary is required to make genuine decisions whether to perform a duty. But where the requirements for registration have been met no choice is given to the Registrar. Section 3(1) of the Deeds Registries Act 47 of 1937 imposes a duty on a Registrar of Deeds to, inter alia,</w:t>
      </w:r>
    </w:p>
    <w:p w:rsidR="00C233F7" w:rsidRPr="00BC5C5D" w:rsidRDefault="00C233F7" w:rsidP="000B64F1">
      <w:pPr>
        <w:spacing w:line="360" w:lineRule="auto"/>
        <w:jc w:val="both"/>
        <w:rPr>
          <w:rFonts w:ascii="Arial" w:hAnsi="Arial" w:cs="Arial"/>
        </w:rPr>
      </w:pPr>
      <w:r w:rsidRPr="00BC5C5D">
        <w:rPr>
          <w:rFonts w:ascii="Arial" w:hAnsi="Arial" w:cs="Arial"/>
        </w:rPr>
        <w:t>‘(</w:t>
      </w:r>
      <w:r w:rsidRPr="00BC5C5D">
        <w:rPr>
          <w:rFonts w:ascii="Arial" w:hAnsi="Arial" w:cs="Arial"/>
          <w:i/>
        </w:rPr>
        <w:t>d</w:t>
      </w:r>
      <w:r w:rsidRPr="00BC5C5D">
        <w:rPr>
          <w:rFonts w:ascii="Arial" w:hAnsi="Arial" w:cs="Arial"/>
        </w:rPr>
        <w:t xml:space="preserve">) </w:t>
      </w:r>
      <w:proofErr w:type="gramStart"/>
      <w:r w:rsidRPr="00BC5C5D">
        <w:rPr>
          <w:rFonts w:ascii="Arial" w:hAnsi="Arial" w:cs="Arial"/>
        </w:rPr>
        <w:t>attest</w:t>
      </w:r>
      <w:proofErr w:type="gramEnd"/>
      <w:r w:rsidRPr="00BC5C5D">
        <w:rPr>
          <w:rFonts w:ascii="Arial" w:hAnsi="Arial" w:cs="Arial"/>
        </w:rPr>
        <w:t xml:space="preserve"> or execute and register deeds of transfer of land, and execute and register certificates of title to land;</w:t>
      </w:r>
    </w:p>
    <w:p w:rsidR="00C233F7" w:rsidRPr="00BC5C5D" w:rsidRDefault="00C233F7" w:rsidP="000B64F1">
      <w:pPr>
        <w:spacing w:line="360" w:lineRule="auto"/>
        <w:jc w:val="both"/>
        <w:rPr>
          <w:rFonts w:ascii="Arial" w:hAnsi="Arial" w:cs="Arial"/>
        </w:rPr>
      </w:pPr>
      <w:r w:rsidRPr="00BC5C5D">
        <w:rPr>
          <w:rFonts w:ascii="Arial" w:hAnsi="Arial" w:cs="Arial"/>
        </w:rPr>
        <w:t>. . .</w:t>
      </w:r>
    </w:p>
    <w:p w:rsidR="00C233F7" w:rsidRPr="00BC5C5D" w:rsidRDefault="00C233F7" w:rsidP="000B64F1">
      <w:pPr>
        <w:spacing w:line="360" w:lineRule="auto"/>
        <w:jc w:val="both"/>
        <w:rPr>
          <w:rFonts w:ascii="Arial" w:hAnsi="Arial" w:cs="Arial"/>
        </w:rPr>
      </w:pPr>
      <w:r w:rsidRPr="00BC5C5D">
        <w:rPr>
          <w:rFonts w:ascii="Arial" w:hAnsi="Arial" w:cs="Arial"/>
        </w:rPr>
        <w:t>(</w:t>
      </w:r>
      <w:r w:rsidRPr="00BC5C5D">
        <w:rPr>
          <w:rFonts w:ascii="Arial" w:hAnsi="Arial" w:cs="Arial"/>
          <w:i/>
        </w:rPr>
        <w:t>r</w:t>
      </w:r>
      <w:r w:rsidRPr="00BC5C5D">
        <w:rPr>
          <w:rFonts w:ascii="Arial" w:hAnsi="Arial" w:cs="Arial"/>
        </w:rPr>
        <w:t>) register any real right, not specifically referred to in this subsection, and any cession, modification or extinction of any such registered right; . . .’</w:t>
      </w:r>
    </w:p>
    <w:p w:rsidR="00C233F7" w:rsidRPr="00C233F7" w:rsidRDefault="00C233F7" w:rsidP="000B64F1">
      <w:pPr>
        <w:spacing w:line="360" w:lineRule="auto"/>
        <w:jc w:val="both"/>
        <w:rPr>
          <w:rFonts w:ascii="Arial" w:hAnsi="Arial" w:cs="Arial"/>
          <w:sz w:val="24"/>
          <w:szCs w:val="24"/>
        </w:rPr>
      </w:pPr>
      <w:r w:rsidRPr="00C233F7">
        <w:rPr>
          <w:rFonts w:ascii="Arial" w:hAnsi="Arial" w:cs="Arial"/>
          <w:sz w:val="24"/>
          <w:szCs w:val="24"/>
        </w:rPr>
        <w:t>[27]</w:t>
      </w:r>
      <w:r w:rsidRPr="00C233F7">
        <w:rPr>
          <w:rFonts w:ascii="Arial" w:hAnsi="Arial" w:cs="Arial"/>
          <w:sz w:val="24"/>
          <w:szCs w:val="24"/>
        </w:rPr>
        <w:tab/>
        <w:t xml:space="preserve">In </w:t>
      </w:r>
      <w:proofErr w:type="gramStart"/>
      <w:r w:rsidRPr="00C233F7">
        <w:rPr>
          <w:rFonts w:ascii="Arial" w:hAnsi="Arial" w:cs="Arial"/>
          <w:i/>
          <w:sz w:val="24"/>
          <w:szCs w:val="24"/>
        </w:rPr>
        <w:t>The</w:t>
      </w:r>
      <w:proofErr w:type="gramEnd"/>
      <w:r w:rsidRPr="00C233F7">
        <w:rPr>
          <w:rFonts w:ascii="Arial" w:hAnsi="Arial" w:cs="Arial"/>
          <w:i/>
          <w:sz w:val="24"/>
          <w:szCs w:val="24"/>
        </w:rPr>
        <w:t xml:space="preserve"> </w:t>
      </w:r>
      <w:smartTag w:uri="urn:schemas-microsoft-com:office:smarttags" w:element="place">
        <w:smartTag w:uri="urn:schemas-microsoft-com:office:smarttags" w:element="PlaceType">
          <w:r w:rsidRPr="00C233F7">
            <w:rPr>
              <w:rFonts w:ascii="Arial" w:hAnsi="Arial" w:cs="Arial"/>
              <w:i/>
              <w:sz w:val="24"/>
              <w:szCs w:val="24"/>
            </w:rPr>
            <w:t>Cape</w:t>
          </w:r>
        </w:smartTag>
        <w:r w:rsidRPr="00C233F7">
          <w:rPr>
            <w:rFonts w:ascii="Arial" w:hAnsi="Arial" w:cs="Arial"/>
            <w:i/>
            <w:sz w:val="24"/>
            <w:szCs w:val="24"/>
          </w:rPr>
          <w:t xml:space="preserve"> of </w:t>
        </w:r>
        <w:smartTag w:uri="urn:schemas-microsoft-com:office:smarttags" w:element="PlaceName">
          <w:r w:rsidRPr="00C233F7">
            <w:rPr>
              <w:rFonts w:ascii="Arial" w:hAnsi="Arial" w:cs="Arial"/>
              <w:i/>
              <w:sz w:val="24"/>
              <w:szCs w:val="24"/>
            </w:rPr>
            <w:t>Good Hope Bank</w:t>
          </w:r>
        </w:smartTag>
      </w:smartTag>
      <w:r w:rsidRPr="00C233F7">
        <w:rPr>
          <w:rFonts w:ascii="Arial" w:hAnsi="Arial" w:cs="Arial"/>
          <w:i/>
          <w:sz w:val="24"/>
          <w:szCs w:val="24"/>
        </w:rPr>
        <w:t xml:space="preserve"> v Fischer</w:t>
      </w:r>
      <w:r w:rsidRPr="00C233F7">
        <w:rPr>
          <w:rStyle w:val="FootnoteReference"/>
          <w:rFonts w:ascii="Arial" w:hAnsi="Arial" w:cs="Arial"/>
          <w:sz w:val="24"/>
          <w:szCs w:val="24"/>
        </w:rPr>
        <w:footnoteReference w:id="16"/>
      </w:r>
      <w:r w:rsidRPr="00C233F7">
        <w:rPr>
          <w:rFonts w:ascii="Arial" w:hAnsi="Arial" w:cs="Arial"/>
          <w:sz w:val="24"/>
          <w:szCs w:val="24"/>
        </w:rPr>
        <w:t xml:space="preserve"> De Villiers CJ said:</w:t>
      </w:r>
    </w:p>
    <w:p w:rsidR="00C233F7" w:rsidRPr="00BC5C5D" w:rsidRDefault="00C233F7" w:rsidP="000B64F1">
      <w:pPr>
        <w:spacing w:line="360" w:lineRule="auto"/>
        <w:jc w:val="both"/>
        <w:rPr>
          <w:rFonts w:ascii="Arial" w:hAnsi="Arial" w:cs="Arial"/>
        </w:rPr>
      </w:pPr>
      <w:r w:rsidRPr="00BC5C5D">
        <w:rPr>
          <w:rFonts w:ascii="Arial" w:hAnsi="Arial" w:cs="Arial"/>
        </w:rPr>
        <w:t xml:space="preserve">‘The Registrar of Deeds in this Colony is entrusted with the formal duties formerly performed by judicial officers, but </w:t>
      </w:r>
      <w:r w:rsidRPr="00BC5C5D">
        <w:rPr>
          <w:rFonts w:ascii="Arial" w:hAnsi="Arial" w:cs="Arial"/>
          <w:i/>
        </w:rPr>
        <w:t>his chief duties are of a ministerial nature, and consist in registering deeds and bonds duly passed before him</w:t>
      </w:r>
      <w:r w:rsidR="00BC5C5D">
        <w:rPr>
          <w:rFonts w:ascii="Arial" w:hAnsi="Arial" w:cs="Arial"/>
        </w:rPr>
        <w:t xml:space="preserve"> . . .’</w:t>
      </w:r>
      <w:r w:rsidRPr="00BC5C5D">
        <w:rPr>
          <w:rFonts w:ascii="Arial" w:hAnsi="Arial" w:cs="Arial"/>
        </w:rPr>
        <w:t xml:space="preserve"> (My emphasis.)</w:t>
      </w:r>
    </w:p>
    <w:p w:rsidR="00C233F7" w:rsidRPr="00C233F7" w:rsidRDefault="00C233F7" w:rsidP="000B64F1">
      <w:pPr>
        <w:spacing w:line="360" w:lineRule="auto"/>
        <w:jc w:val="both"/>
        <w:rPr>
          <w:rFonts w:ascii="Arial" w:hAnsi="Arial" w:cs="Arial"/>
          <w:sz w:val="24"/>
          <w:szCs w:val="24"/>
        </w:rPr>
      </w:pPr>
      <w:r w:rsidRPr="00C233F7">
        <w:rPr>
          <w:rFonts w:ascii="Arial" w:hAnsi="Arial" w:cs="Arial"/>
          <w:sz w:val="24"/>
          <w:szCs w:val="24"/>
        </w:rPr>
        <w:t>The Chief Justice also stated that if a properly executed mortgage bond were presented to the Registrar for registration ‘it is his duty to register it in the manner required by law’.</w:t>
      </w:r>
      <w:r w:rsidRPr="00C233F7">
        <w:rPr>
          <w:rStyle w:val="FootnoteReference"/>
          <w:rFonts w:ascii="Arial" w:hAnsi="Arial" w:cs="Arial"/>
          <w:sz w:val="24"/>
          <w:szCs w:val="24"/>
        </w:rPr>
        <w:footnoteReference w:id="17"/>
      </w:r>
    </w:p>
    <w:p w:rsidR="00C233F7" w:rsidRPr="00C233F7" w:rsidRDefault="00C233F7" w:rsidP="000B64F1">
      <w:pPr>
        <w:spacing w:line="360" w:lineRule="auto"/>
        <w:jc w:val="both"/>
        <w:rPr>
          <w:rFonts w:ascii="Arial" w:hAnsi="Arial" w:cs="Arial"/>
          <w:sz w:val="24"/>
          <w:szCs w:val="24"/>
        </w:rPr>
      </w:pPr>
      <w:r w:rsidRPr="00C233F7">
        <w:rPr>
          <w:rFonts w:ascii="Arial" w:hAnsi="Arial" w:cs="Arial"/>
          <w:sz w:val="24"/>
          <w:szCs w:val="24"/>
        </w:rPr>
        <w:lastRenderedPageBreak/>
        <w:t>[</w:t>
      </w:r>
      <w:r w:rsidR="00BC5C5D">
        <w:rPr>
          <w:rFonts w:ascii="Arial" w:hAnsi="Arial" w:cs="Arial"/>
          <w:sz w:val="24"/>
          <w:szCs w:val="24"/>
        </w:rPr>
        <w:t>28]</w:t>
      </w:r>
      <w:r w:rsidR="00BC5C5D">
        <w:rPr>
          <w:rFonts w:ascii="Arial" w:hAnsi="Arial" w:cs="Arial"/>
          <w:sz w:val="24"/>
          <w:szCs w:val="24"/>
        </w:rPr>
        <w:tab/>
        <w:t>It may be that the Master and</w:t>
      </w:r>
      <w:r w:rsidRPr="00C233F7">
        <w:rPr>
          <w:rFonts w:ascii="Arial" w:hAnsi="Arial" w:cs="Arial"/>
          <w:sz w:val="24"/>
          <w:szCs w:val="24"/>
        </w:rPr>
        <w:t xml:space="preserve"> the Registrar are called upon from time to time to make evaluations of the documents presented to them and to exercise some judgement or choice.</w:t>
      </w:r>
      <w:r w:rsidRPr="00C233F7">
        <w:rPr>
          <w:rStyle w:val="FootnoteReference"/>
          <w:rFonts w:ascii="Arial" w:hAnsi="Arial" w:cs="Arial"/>
          <w:sz w:val="24"/>
          <w:szCs w:val="24"/>
        </w:rPr>
        <w:footnoteReference w:id="18"/>
      </w:r>
      <w:r w:rsidRPr="00C233F7">
        <w:rPr>
          <w:rFonts w:ascii="Arial" w:hAnsi="Arial" w:cs="Arial"/>
          <w:sz w:val="24"/>
          <w:szCs w:val="24"/>
        </w:rPr>
        <w:t xml:space="preserve"> In that event their functions are quasi-judicial and have been so regarded by our courts over decades. In </w:t>
      </w:r>
      <w:r w:rsidRPr="00C233F7">
        <w:rPr>
          <w:rFonts w:ascii="Arial" w:hAnsi="Arial" w:cs="Arial"/>
          <w:i/>
          <w:sz w:val="24"/>
          <w:szCs w:val="24"/>
        </w:rPr>
        <w:t xml:space="preserve">Jones: Conveyancing in </w:t>
      </w:r>
      <w:smartTag w:uri="urn:schemas-microsoft-com:office:smarttags" w:element="country-region">
        <w:r w:rsidRPr="00C233F7">
          <w:rPr>
            <w:rFonts w:ascii="Arial" w:hAnsi="Arial" w:cs="Arial"/>
            <w:i/>
            <w:sz w:val="24"/>
            <w:szCs w:val="24"/>
          </w:rPr>
          <w:t>South Africa</w:t>
        </w:r>
      </w:smartTag>
      <w:r w:rsidRPr="00C233F7">
        <w:rPr>
          <w:rFonts w:ascii="Arial" w:hAnsi="Arial" w:cs="Arial"/>
          <w:sz w:val="24"/>
          <w:szCs w:val="24"/>
        </w:rPr>
        <w:t xml:space="preserve"> H</w:t>
      </w:r>
      <w:r w:rsidR="00BC5C5D">
        <w:rPr>
          <w:rFonts w:ascii="Arial" w:hAnsi="Arial" w:cs="Arial"/>
          <w:sz w:val="24"/>
          <w:szCs w:val="24"/>
        </w:rPr>
        <w:t> </w:t>
      </w:r>
      <w:smartTag w:uri="urn:schemas-microsoft-com:office:smarttags" w:element="place">
        <w:r w:rsidRPr="00C233F7">
          <w:rPr>
            <w:rFonts w:ascii="Arial" w:hAnsi="Arial" w:cs="Arial"/>
            <w:sz w:val="24"/>
            <w:szCs w:val="24"/>
          </w:rPr>
          <w:t>S Nel</w:t>
        </w:r>
      </w:smartTag>
      <w:r w:rsidRPr="00C233F7">
        <w:rPr>
          <w:rFonts w:ascii="Arial" w:hAnsi="Arial" w:cs="Arial"/>
          <w:sz w:val="24"/>
          <w:szCs w:val="24"/>
        </w:rPr>
        <w:t xml:space="preserve"> states:</w:t>
      </w:r>
    </w:p>
    <w:p w:rsidR="00C233F7" w:rsidRPr="00BC5C5D" w:rsidRDefault="00C233F7" w:rsidP="000B64F1">
      <w:pPr>
        <w:spacing w:line="360" w:lineRule="auto"/>
        <w:jc w:val="both"/>
        <w:rPr>
          <w:rFonts w:ascii="Arial" w:hAnsi="Arial" w:cs="Arial"/>
        </w:rPr>
      </w:pPr>
      <w:r w:rsidRPr="00BC5C5D">
        <w:rPr>
          <w:rFonts w:ascii="Arial" w:hAnsi="Arial" w:cs="Arial"/>
        </w:rPr>
        <w:t>‘Although . . . the office of registrar of deeds is descended from that of a judge’s . . . today he is not considered a judicial officer. His duties have been described as semi-judicial. Nevertheless, although a registrar naturally dare not usurp the functions of the courts in determining the rights and obligations of parties in dispute on registered matters, on matters about to be registered it seems to be a different story, for there is no doubt that his opinions carry a good deal of weight and in the execution of his duties it is no exaggeration to say that he and his examiners are called upon . . . to solve exactly similar legal problems as occupy counsel and judges for hours if not days on end . . . A registrar is not an ordinary public servant performing statutory duties.’</w:t>
      </w:r>
      <w:r w:rsidRPr="00BC5C5D">
        <w:rPr>
          <w:rStyle w:val="FootnoteReference"/>
          <w:rFonts w:ascii="Arial" w:hAnsi="Arial" w:cs="Arial"/>
        </w:rPr>
        <w:footnoteReference w:id="19"/>
      </w:r>
    </w:p>
    <w:p w:rsidR="00C233F7" w:rsidRPr="00C233F7" w:rsidRDefault="00C233F7" w:rsidP="000B64F1">
      <w:pPr>
        <w:spacing w:line="360" w:lineRule="auto"/>
        <w:jc w:val="both"/>
        <w:rPr>
          <w:rFonts w:ascii="Arial" w:hAnsi="Arial" w:cs="Arial"/>
          <w:sz w:val="24"/>
          <w:szCs w:val="24"/>
        </w:rPr>
      </w:pPr>
      <w:r w:rsidRPr="00C233F7">
        <w:rPr>
          <w:rFonts w:ascii="Arial" w:hAnsi="Arial" w:cs="Arial"/>
          <w:sz w:val="24"/>
          <w:szCs w:val="24"/>
        </w:rPr>
        <w:t>Accordingly ‘</w:t>
      </w:r>
      <w:r w:rsidR="00E55E2C">
        <w:rPr>
          <w:rFonts w:ascii="Arial" w:hAnsi="Arial" w:cs="Arial"/>
          <w:sz w:val="24"/>
          <w:szCs w:val="24"/>
        </w:rPr>
        <w:t>[l]</w:t>
      </w:r>
      <w:proofErr w:type="gramStart"/>
      <w:r w:rsidRPr="00C233F7">
        <w:rPr>
          <w:rFonts w:ascii="Arial" w:hAnsi="Arial" w:cs="Arial"/>
          <w:sz w:val="24"/>
          <w:szCs w:val="24"/>
        </w:rPr>
        <w:t>ike</w:t>
      </w:r>
      <w:proofErr w:type="gramEnd"/>
      <w:r w:rsidRPr="00C233F7">
        <w:rPr>
          <w:rFonts w:ascii="Arial" w:hAnsi="Arial" w:cs="Arial"/>
          <w:sz w:val="24"/>
          <w:szCs w:val="24"/>
        </w:rPr>
        <w:t xml:space="preserve"> a judicial officer, a registrar of deeds must weigh the evidence submitted to him and determine whether to allow registration or to force the parties to the court . . .’</w:t>
      </w:r>
      <w:r w:rsidRPr="00C233F7">
        <w:rPr>
          <w:rStyle w:val="FootnoteReference"/>
          <w:rFonts w:ascii="Arial" w:hAnsi="Arial" w:cs="Arial"/>
          <w:sz w:val="24"/>
          <w:szCs w:val="24"/>
        </w:rPr>
        <w:footnoteReference w:id="20"/>
      </w:r>
      <w:r w:rsidRPr="00C233F7">
        <w:rPr>
          <w:rFonts w:ascii="Arial" w:hAnsi="Arial" w:cs="Arial"/>
          <w:sz w:val="24"/>
          <w:szCs w:val="24"/>
        </w:rPr>
        <w:t xml:space="preserve"> If that occurs the conduct of the Registrar would be quasi-judicial and no doubt reviewable under the PAJA.  But we are not concerned in this matter with any decision that has required the assessment of evidence or the exercise of </w:t>
      </w:r>
      <w:proofErr w:type="gramStart"/>
      <w:r w:rsidRPr="00C233F7">
        <w:rPr>
          <w:rFonts w:ascii="Arial" w:hAnsi="Arial" w:cs="Arial"/>
          <w:sz w:val="24"/>
          <w:szCs w:val="24"/>
        </w:rPr>
        <w:t>a discretion</w:t>
      </w:r>
      <w:proofErr w:type="gramEnd"/>
      <w:r w:rsidRPr="00C233F7">
        <w:rPr>
          <w:rFonts w:ascii="Arial" w:hAnsi="Arial" w:cs="Arial"/>
          <w:sz w:val="24"/>
          <w:szCs w:val="24"/>
        </w:rPr>
        <w:t xml:space="preserve"> or the making of a choice.</w:t>
      </w:r>
      <w:r w:rsidR="00DE5A27">
        <w:rPr>
          <w:rStyle w:val="FootnoteReference"/>
          <w:rFonts w:ascii="Arial" w:hAnsi="Arial"/>
          <w:sz w:val="24"/>
          <w:szCs w:val="24"/>
        </w:rPr>
        <w:footnoteReference w:id="21"/>
      </w:r>
      <w:r w:rsidRPr="00C233F7">
        <w:rPr>
          <w:rFonts w:ascii="Arial" w:hAnsi="Arial" w:cs="Arial"/>
          <w:sz w:val="24"/>
          <w:szCs w:val="24"/>
        </w:rPr>
        <w:t xml:space="preserve"> </w:t>
      </w:r>
    </w:p>
    <w:p w:rsidR="00C233F7" w:rsidRPr="00C233F7" w:rsidRDefault="00C233F7" w:rsidP="000B64F1">
      <w:pPr>
        <w:spacing w:line="360" w:lineRule="auto"/>
        <w:jc w:val="both"/>
        <w:rPr>
          <w:rFonts w:ascii="Arial" w:hAnsi="Arial" w:cs="Arial"/>
          <w:sz w:val="24"/>
          <w:szCs w:val="24"/>
        </w:rPr>
      </w:pPr>
      <w:r w:rsidRPr="00C233F7">
        <w:rPr>
          <w:rFonts w:ascii="Arial" w:hAnsi="Arial" w:cs="Arial"/>
          <w:sz w:val="24"/>
          <w:szCs w:val="24"/>
        </w:rPr>
        <w:t>[29]</w:t>
      </w:r>
      <w:r w:rsidRPr="00C233F7">
        <w:rPr>
          <w:rFonts w:ascii="Arial" w:hAnsi="Arial" w:cs="Arial"/>
          <w:sz w:val="24"/>
          <w:szCs w:val="24"/>
        </w:rPr>
        <w:tab/>
        <w:t>In my view, the executors were entitled to vindicatory relief – the reregistration of the property in the name of the estate – and to an order cancelling the bond in favour of Nedbank. The high court granted that and ancillary relief and the appeal must accordingly fail.</w:t>
      </w:r>
    </w:p>
    <w:p w:rsidR="00C233F7" w:rsidRPr="00C233F7" w:rsidRDefault="00C233F7" w:rsidP="000B64F1">
      <w:pPr>
        <w:spacing w:line="360" w:lineRule="auto"/>
        <w:jc w:val="both"/>
        <w:rPr>
          <w:rFonts w:ascii="Arial" w:hAnsi="Arial" w:cs="Arial"/>
          <w:sz w:val="24"/>
          <w:szCs w:val="24"/>
        </w:rPr>
      </w:pPr>
      <w:r w:rsidRPr="00C233F7">
        <w:rPr>
          <w:rFonts w:ascii="Arial" w:hAnsi="Arial" w:cs="Arial"/>
          <w:sz w:val="24"/>
          <w:szCs w:val="24"/>
        </w:rPr>
        <w:lastRenderedPageBreak/>
        <w:t>[30]</w:t>
      </w:r>
      <w:r w:rsidRPr="00C233F7">
        <w:rPr>
          <w:rFonts w:ascii="Arial" w:hAnsi="Arial" w:cs="Arial"/>
          <w:sz w:val="24"/>
          <w:szCs w:val="24"/>
        </w:rPr>
        <w:tab/>
        <w:t>The appeal is dismissed with costs including those of two counsel where so employed.</w:t>
      </w:r>
    </w:p>
    <w:p w:rsidR="00C233F7" w:rsidRDefault="00C233F7" w:rsidP="000B64F1">
      <w:pPr>
        <w:spacing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E24D54" w:rsidRDefault="00E24D54" w:rsidP="000B64F1">
      <w:pPr>
        <w:spacing w:line="360" w:lineRule="auto"/>
        <w:jc w:val="both"/>
        <w:rPr>
          <w:rFonts w:ascii="Arial" w:hAnsi="Arial" w:cs="Arial"/>
          <w:sz w:val="24"/>
          <w:szCs w:val="24"/>
        </w:rPr>
      </w:pPr>
    </w:p>
    <w:p w:rsidR="00C233F7" w:rsidRPr="00C233F7" w:rsidRDefault="00E24D54" w:rsidP="00E24D54">
      <w:pPr>
        <w:spacing w:line="360" w:lineRule="auto"/>
        <w:jc w:val="right"/>
        <w:rPr>
          <w:rFonts w:ascii="Arial" w:hAnsi="Arial" w:cs="Arial"/>
          <w:sz w:val="24"/>
          <w:szCs w:val="24"/>
        </w:rPr>
      </w:pPr>
      <w:r>
        <w:rPr>
          <w:rFonts w:ascii="Arial" w:hAnsi="Arial" w:cs="Arial"/>
          <w:sz w:val="24"/>
          <w:szCs w:val="24"/>
        </w:rPr>
        <w:t>_______________</w:t>
      </w:r>
    </w:p>
    <w:p w:rsidR="00C233F7" w:rsidRPr="00C233F7" w:rsidRDefault="00C233F7" w:rsidP="00E24D54">
      <w:pPr>
        <w:jc w:val="right"/>
        <w:rPr>
          <w:rFonts w:ascii="Arial" w:hAnsi="Arial" w:cs="Arial"/>
          <w:sz w:val="24"/>
          <w:szCs w:val="24"/>
        </w:rPr>
      </w:pPr>
      <w:r w:rsidRPr="00C233F7">
        <w:rPr>
          <w:rFonts w:ascii="Arial" w:hAnsi="Arial" w:cs="Arial"/>
          <w:sz w:val="24"/>
          <w:szCs w:val="24"/>
        </w:rPr>
        <w:t>C H Lewis</w:t>
      </w:r>
    </w:p>
    <w:p w:rsidR="00C233F7" w:rsidRPr="00C233F7" w:rsidRDefault="00C233F7" w:rsidP="00E24D54">
      <w:pPr>
        <w:jc w:val="right"/>
        <w:rPr>
          <w:rFonts w:ascii="Arial" w:hAnsi="Arial" w:cs="Arial"/>
          <w:sz w:val="24"/>
          <w:szCs w:val="24"/>
        </w:rPr>
      </w:pPr>
      <w:r w:rsidRPr="00C233F7">
        <w:rPr>
          <w:rFonts w:ascii="Arial" w:hAnsi="Arial" w:cs="Arial"/>
          <w:sz w:val="24"/>
          <w:szCs w:val="24"/>
        </w:rPr>
        <w:t>Judge of Appeal</w:t>
      </w:r>
    </w:p>
    <w:p w:rsidR="00C233F7" w:rsidRPr="00C233F7" w:rsidRDefault="00C233F7" w:rsidP="000B64F1">
      <w:pPr>
        <w:spacing w:line="360" w:lineRule="auto"/>
        <w:jc w:val="both"/>
        <w:rPr>
          <w:rFonts w:ascii="Arial" w:hAnsi="Arial" w:cs="Arial"/>
          <w:sz w:val="24"/>
          <w:szCs w:val="24"/>
        </w:rPr>
      </w:pPr>
    </w:p>
    <w:p w:rsidR="00C233F7" w:rsidRPr="00C233F7" w:rsidRDefault="00C233F7" w:rsidP="00C233F7">
      <w:pPr>
        <w:spacing w:line="480" w:lineRule="auto"/>
        <w:jc w:val="both"/>
        <w:rPr>
          <w:rFonts w:ascii="Arial" w:hAnsi="Arial" w:cs="Arial"/>
          <w:sz w:val="24"/>
          <w:szCs w:val="24"/>
        </w:rPr>
      </w:pPr>
    </w:p>
    <w:p w:rsidR="00C233F7" w:rsidRPr="00C233F7" w:rsidRDefault="00C233F7" w:rsidP="00C233F7">
      <w:pPr>
        <w:spacing w:line="480" w:lineRule="auto"/>
        <w:jc w:val="both"/>
        <w:rPr>
          <w:rFonts w:ascii="Arial" w:hAnsi="Arial" w:cs="Arial"/>
          <w:sz w:val="24"/>
          <w:szCs w:val="24"/>
        </w:rPr>
      </w:pPr>
    </w:p>
    <w:p w:rsidR="00C8580F" w:rsidRDefault="00C8580F" w:rsidP="000C5269">
      <w:pPr>
        <w:spacing w:after="0" w:line="360" w:lineRule="auto"/>
        <w:jc w:val="both"/>
        <w:rPr>
          <w:rFonts w:ascii="Arial" w:hAnsi="Arial" w:cs="Arial"/>
          <w:sz w:val="24"/>
          <w:szCs w:val="24"/>
        </w:rPr>
      </w:pPr>
    </w:p>
    <w:p w:rsidR="00E92D2F" w:rsidRPr="00C233F7" w:rsidRDefault="00E92D2F" w:rsidP="000C5269">
      <w:pPr>
        <w:spacing w:after="0" w:line="360" w:lineRule="auto"/>
        <w:jc w:val="both"/>
        <w:rPr>
          <w:rFonts w:ascii="Arial" w:hAnsi="Arial" w:cs="Arial"/>
          <w:sz w:val="24"/>
          <w:szCs w:val="24"/>
        </w:rPr>
      </w:pPr>
    </w:p>
    <w:p w:rsidR="0004494F" w:rsidRPr="00C233F7" w:rsidRDefault="0004494F" w:rsidP="000C5269">
      <w:pPr>
        <w:spacing w:after="0" w:line="360" w:lineRule="auto"/>
        <w:jc w:val="both"/>
        <w:rPr>
          <w:rFonts w:ascii="Arial" w:hAnsi="Arial" w:cs="Arial"/>
          <w:sz w:val="24"/>
          <w:szCs w:val="24"/>
        </w:rPr>
      </w:pPr>
    </w:p>
    <w:p w:rsidR="000038B4" w:rsidRPr="00563486" w:rsidRDefault="000038B4" w:rsidP="0081100A">
      <w:pPr>
        <w:widowControl w:val="0"/>
        <w:autoSpaceDE w:val="0"/>
        <w:autoSpaceDN w:val="0"/>
        <w:adjustRightInd w:val="0"/>
        <w:spacing w:line="360" w:lineRule="auto"/>
        <w:rPr>
          <w:rFonts w:ascii="Arial" w:hAnsi="Arial" w:cs="Arial"/>
          <w:szCs w:val="28"/>
        </w:rPr>
      </w:pPr>
      <w:r w:rsidRPr="00563486">
        <w:rPr>
          <w:rFonts w:ascii="Arial" w:hAnsi="Arial" w:cs="Arial"/>
          <w:szCs w:val="28"/>
        </w:rPr>
        <w:t>APPEARANCES:</w:t>
      </w:r>
    </w:p>
    <w:p w:rsidR="000038B4" w:rsidRPr="00563486" w:rsidRDefault="000038B4" w:rsidP="0081100A">
      <w:pPr>
        <w:widowControl w:val="0"/>
        <w:autoSpaceDE w:val="0"/>
        <w:autoSpaceDN w:val="0"/>
        <w:adjustRightInd w:val="0"/>
        <w:spacing w:line="360" w:lineRule="auto"/>
        <w:rPr>
          <w:rFonts w:ascii="Arial" w:hAnsi="Arial" w:cs="Arial"/>
          <w:szCs w:val="28"/>
        </w:rPr>
      </w:pPr>
    </w:p>
    <w:p w:rsidR="000038B4" w:rsidRPr="00563486" w:rsidRDefault="0004494F" w:rsidP="0081100A">
      <w:pPr>
        <w:widowControl w:val="0"/>
        <w:autoSpaceDE w:val="0"/>
        <w:autoSpaceDN w:val="0"/>
        <w:adjustRightInd w:val="0"/>
        <w:spacing w:line="360" w:lineRule="auto"/>
        <w:rPr>
          <w:rFonts w:ascii="Arial" w:hAnsi="Arial" w:cs="Arial"/>
          <w:sz w:val="24"/>
        </w:rPr>
      </w:pPr>
      <w:r>
        <w:rPr>
          <w:rFonts w:ascii="Arial" w:hAnsi="Arial" w:cs="Arial"/>
          <w:sz w:val="24"/>
        </w:rPr>
        <w:t>For the Appellant:</w:t>
      </w:r>
      <w:r>
        <w:rPr>
          <w:rFonts w:ascii="Arial" w:hAnsi="Arial" w:cs="Arial"/>
          <w:sz w:val="24"/>
        </w:rPr>
        <w:tab/>
        <w:t xml:space="preserve">  J G </w:t>
      </w:r>
      <w:smartTag w:uri="urn:schemas-microsoft-com:office:smarttags" w:element="place">
        <w:smartTag w:uri="urn:schemas-microsoft-com:office:smarttags" w:element="City">
          <w:r>
            <w:rPr>
              <w:rFonts w:ascii="Arial" w:hAnsi="Arial" w:cs="Arial"/>
              <w:sz w:val="24"/>
            </w:rPr>
            <w:t>Wasserman</w:t>
          </w:r>
        </w:smartTag>
        <w:r>
          <w:rPr>
            <w:rFonts w:ascii="Arial" w:hAnsi="Arial" w:cs="Arial"/>
            <w:sz w:val="24"/>
          </w:rPr>
          <w:t xml:space="preserve"> </w:t>
        </w:r>
        <w:smartTag w:uri="urn:schemas-microsoft-com:office:smarttags" w:element="State">
          <w:r>
            <w:rPr>
              <w:rFonts w:ascii="Arial" w:hAnsi="Arial" w:cs="Arial"/>
              <w:sz w:val="24"/>
            </w:rPr>
            <w:t>SC</w:t>
          </w:r>
        </w:smartTag>
      </w:smartTag>
    </w:p>
    <w:p w:rsidR="000038B4" w:rsidRPr="00563486" w:rsidRDefault="0004494F" w:rsidP="0081100A">
      <w:pPr>
        <w:widowControl w:val="0"/>
        <w:tabs>
          <w:tab w:val="left" w:pos="2340"/>
        </w:tabs>
        <w:autoSpaceDE w:val="0"/>
        <w:autoSpaceDN w:val="0"/>
        <w:adjustRightInd w:val="0"/>
        <w:spacing w:line="360" w:lineRule="auto"/>
        <w:rPr>
          <w:rFonts w:ascii="Arial" w:hAnsi="Arial" w:cs="Arial"/>
          <w:sz w:val="24"/>
        </w:rPr>
      </w:pPr>
      <w:r>
        <w:rPr>
          <w:rFonts w:ascii="Arial" w:hAnsi="Arial" w:cs="Arial"/>
          <w:szCs w:val="28"/>
        </w:rPr>
        <w:tab/>
      </w:r>
      <w:r w:rsidR="000038B4" w:rsidRPr="00563486">
        <w:rPr>
          <w:rFonts w:ascii="Arial" w:hAnsi="Arial" w:cs="Arial"/>
          <w:sz w:val="24"/>
        </w:rPr>
        <w:t>Instructed by:</w:t>
      </w:r>
    </w:p>
    <w:p w:rsidR="000038B4" w:rsidRPr="00563486" w:rsidRDefault="000038B4" w:rsidP="0081100A">
      <w:pPr>
        <w:widowControl w:val="0"/>
        <w:tabs>
          <w:tab w:val="left" w:pos="2340"/>
        </w:tabs>
        <w:autoSpaceDE w:val="0"/>
        <w:autoSpaceDN w:val="0"/>
        <w:adjustRightInd w:val="0"/>
        <w:spacing w:line="360" w:lineRule="auto"/>
        <w:rPr>
          <w:rFonts w:ascii="Arial" w:hAnsi="Arial" w:cs="Arial"/>
          <w:sz w:val="24"/>
        </w:rPr>
      </w:pPr>
      <w:r>
        <w:rPr>
          <w:rFonts w:ascii="Arial" w:hAnsi="Arial" w:cs="Arial"/>
          <w:sz w:val="24"/>
        </w:rPr>
        <w:tab/>
      </w:r>
      <w:r w:rsidR="00F04A49">
        <w:rPr>
          <w:rFonts w:ascii="Arial" w:hAnsi="Arial" w:cs="Arial"/>
          <w:sz w:val="24"/>
        </w:rPr>
        <w:t>Victor &amp; P</w:t>
      </w:r>
      <w:r w:rsidR="001B3DFD">
        <w:rPr>
          <w:rFonts w:ascii="Arial" w:hAnsi="Arial" w:cs="Arial"/>
          <w:sz w:val="24"/>
        </w:rPr>
        <w:t>artne</w:t>
      </w:r>
      <w:r w:rsidR="00E55E2C">
        <w:rPr>
          <w:rFonts w:ascii="Arial" w:hAnsi="Arial" w:cs="Arial"/>
          <w:sz w:val="24"/>
        </w:rPr>
        <w:t>rs c/o Petzer Du Toit Ramulifho,</w:t>
      </w:r>
      <w:r w:rsidR="001B3DFD">
        <w:rPr>
          <w:rFonts w:ascii="Arial" w:hAnsi="Arial" w:cs="Arial"/>
          <w:sz w:val="24"/>
        </w:rPr>
        <w:t xml:space="preserve"> </w:t>
      </w:r>
      <w:smartTag w:uri="urn:schemas-microsoft-com:office:smarttags" w:element="City">
        <w:smartTag w:uri="urn:schemas-microsoft-com:office:smarttags" w:element="place">
          <w:r w:rsidR="001B3DFD">
            <w:rPr>
              <w:rFonts w:ascii="Arial" w:hAnsi="Arial" w:cs="Arial"/>
              <w:sz w:val="24"/>
            </w:rPr>
            <w:t>Pretoria</w:t>
          </w:r>
        </w:smartTag>
      </w:smartTag>
    </w:p>
    <w:p w:rsidR="000038B4" w:rsidRPr="00563486" w:rsidRDefault="000038B4" w:rsidP="0081100A">
      <w:pPr>
        <w:widowControl w:val="0"/>
        <w:tabs>
          <w:tab w:val="left" w:pos="2340"/>
        </w:tabs>
        <w:autoSpaceDE w:val="0"/>
        <w:autoSpaceDN w:val="0"/>
        <w:adjustRightInd w:val="0"/>
        <w:spacing w:line="360" w:lineRule="auto"/>
        <w:rPr>
          <w:rFonts w:ascii="Arial" w:hAnsi="Arial" w:cs="Arial"/>
          <w:sz w:val="24"/>
        </w:rPr>
      </w:pPr>
      <w:r>
        <w:rPr>
          <w:rFonts w:ascii="Arial" w:hAnsi="Arial" w:cs="Arial"/>
          <w:sz w:val="24"/>
        </w:rPr>
        <w:tab/>
      </w:r>
      <w:r w:rsidR="001B3DFD">
        <w:rPr>
          <w:rFonts w:ascii="Arial" w:hAnsi="Arial" w:cs="Arial"/>
          <w:sz w:val="24"/>
        </w:rPr>
        <w:t>Symington &amp; De Kok</w:t>
      </w:r>
      <w:r w:rsidR="00E55E2C">
        <w:rPr>
          <w:rFonts w:ascii="Arial" w:hAnsi="Arial" w:cs="Arial"/>
          <w:sz w:val="24"/>
        </w:rPr>
        <w:t>,</w:t>
      </w:r>
      <w:r w:rsidRPr="00563486">
        <w:rPr>
          <w:rFonts w:ascii="Arial" w:hAnsi="Arial" w:cs="Arial"/>
          <w:sz w:val="24"/>
        </w:rPr>
        <w:t xml:space="preserve"> </w:t>
      </w:r>
      <w:smartTag w:uri="urn:schemas-microsoft-com:office:smarttags" w:element="City">
        <w:smartTag w:uri="urn:schemas-microsoft-com:office:smarttags" w:element="place">
          <w:r w:rsidRPr="00563486">
            <w:rPr>
              <w:rFonts w:ascii="Arial" w:hAnsi="Arial" w:cs="Arial"/>
              <w:sz w:val="24"/>
            </w:rPr>
            <w:t>Bloemfontein</w:t>
          </w:r>
        </w:smartTag>
      </w:smartTag>
    </w:p>
    <w:p w:rsidR="000038B4" w:rsidRPr="00563486" w:rsidRDefault="000038B4" w:rsidP="0081100A">
      <w:pPr>
        <w:widowControl w:val="0"/>
        <w:tabs>
          <w:tab w:val="left" w:pos="2340"/>
        </w:tabs>
        <w:autoSpaceDE w:val="0"/>
        <w:autoSpaceDN w:val="0"/>
        <w:adjustRightInd w:val="0"/>
        <w:spacing w:line="360" w:lineRule="auto"/>
        <w:rPr>
          <w:rFonts w:ascii="Arial" w:hAnsi="Arial" w:cs="Arial"/>
          <w:sz w:val="24"/>
        </w:rPr>
      </w:pPr>
    </w:p>
    <w:p w:rsidR="000038B4" w:rsidRDefault="001B3DFD" w:rsidP="001B3DFD">
      <w:pPr>
        <w:widowControl w:val="0"/>
        <w:tabs>
          <w:tab w:val="left" w:pos="2694"/>
        </w:tabs>
        <w:autoSpaceDE w:val="0"/>
        <w:autoSpaceDN w:val="0"/>
        <w:adjustRightInd w:val="0"/>
        <w:spacing w:line="360" w:lineRule="auto"/>
        <w:ind w:left="5040" w:hanging="5040"/>
        <w:rPr>
          <w:rFonts w:ascii="Arial" w:hAnsi="Arial" w:cs="Arial"/>
          <w:sz w:val="24"/>
        </w:rPr>
      </w:pPr>
      <w:r>
        <w:rPr>
          <w:rFonts w:ascii="Arial" w:hAnsi="Arial" w:cs="Arial"/>
          <w:sz w:val="24"/>
        </w:rPr>
        <w:t xml:space="preserve">For the </w:t>
      </w:r>
      <w:r w:rsidR="00E55E2C">
        <w:rPr>
          <w:rFonts w:ascii="Arial" w:hAnsi="Arial" w:cs="Arial"/>
          <w:sz w:val="24"/>
        </w:rPr>
        <w:t>Respondent</w:t>
      </w:r>
      <w:r w:rsidR="000038B4">
        <w:rPr>
          <w:rFonts w:ascii="Arial" w:hAnsi="Arial" w:cs="Arial"/>
          <w:sz w:val="24"/>
        </w:rPr>
        <w:t>:</w:t>
      </w:r>
      <w:r>
        <w:rPr>
          <w:rFonts w:ascii="Arial" w:hAnsi="Arial" w:cs="Arial"/>
          <w:sz w:val="24"/>
        </w:rPr>
        <w:t xml:space="preserve">    </w:t>
      </w:r>
      <w:proofErr w:type="gramStart"/>
      <w:r>
        <w:rPr>
          <w:rFonts w:ascii="Arial" w:hAnsi="Arial" w:cs="Arial"/>
          <w:sz w:val="24"/>
        </w:rPr>
        <w:t>A</w:t>
      </w:r>
      <w:proofErr w:type="gramEnd"/>
      <w:r>
        <w:rPr>
          <w:rFonts w:ascii="Arial" w:hAnsi="Arial" w:cs="Arial"/>
          <w:sz w:val="24"/>
        </w:rPr>
        <w:t xml:space="preserve"> O Cook</w:t>
      </w:r>
      <w:r w:rsidR="000038B4">
        <w:rPr>
          <w:rFonts w:ascii="Arial" w:hAnsi="Arial" w:cs="Arial"/>
          <w:sz w:val="24"/>
        </w:rPr>
        <w:t xml:space="preserve"> SC</w:t>
      </w:r>
      <w:r>
        <w:rPr>
          <w:rFonts w:ascii="Arial" w:hAnsi="Arial" w:cs="Arial"/>
          <w:sz w:val="24"/>
        </w:rPr>
        <w:t xml:space="preserve"> (with him M Seape)</w:t>
      </w:r>
    </w:p>
    <w:p w:rsidR="000038B4" w:rsidRDefault="001F330B" w:rsidP="001F330B">
      <w:pPr>
        <w:widowControl w:val="0"/>
        <w:tabs>
          <w:tab w:val="left" w:pos="2410"/>
        </w:tabs>
        <w:autoSpaceDE w:val="0"/>
        <w:autoSpaceDN w:val="0"/>
        <w:adjustRightInd w:val="0"/>
        <w:spacing w:line="360" w:lineRule="auto"/>
        <w:ind w:left="5040" w:hanging="5040"/>
        <w:rPr>
          <w:rFonts w:ascii="Arial" w:hAnsi="Arial" w:cs="Arial"/>
          <w:sz w:val="24"/>
        </w:rPr>
      </w:pPr>
      <w:r>
        <w:rPr>
          <w:rFonts w:ascii="Arial" w:hAnsi="Arial" w:cs="Arial"/>
          <w:sz w:val="24"/>
        </w:rPr>
        <w:tab/>
      </w:r>
      <w:r w:rsidR="000038B4" w:rsidRPr="00563486">
        <w:rPr>
          <w:rFonts w:ascii="Arial" w:hAnsi="Arial" w:cs="Arial"/>
          <w:sz w:val="24"/>
        </w:rPr>
        <w:t>Instructed by:</w:t>
      </w:r>
      <w:r w:rsidR="000038B4">
        <w:rPr>
          <w:rFonts w:ascii="Arial" w:hAnsi="Arial" w:cs="Arial"/>
          <w:sz w:val="24"/>
        </w:rPr>
        <w:tab/>
      </w:r>
      <w:r w:rsidR="000038B4">
        <w:rPr>
          <w:rFonts w:ascii="Arial" w:hAnsi="Arial" w:cs="Arial"/>
          <w:sz w:val="24"/>
        </w:rPr>
        <w:tab/>
      </w:r>
      <w:r w:rsidR="000038B4">
        <w:rPr>
          <w:rFonts w:ascii="Arial" w:hAnsi="Arial" w:cs="Arial"/>
          <w:sz w:val="24"/>
        </w:rPr>
        <w:tab/>
      </w:r>
    </w:p>
    <w:p w:rsidR="001B3DFD" w:rsidRDefault="001F330B" w:rsidP="001F330B">
      <w:pPr>
        <w:widowControl w:val="0"/>
        <w:tabs>
          <w:tab w:val="left" w:pos="2410"/>
        </w:tabs>
        <w:autoSpaceDE w:val="0"/>
        <w:autoSpaceDN w:val="0"/>
        <w:adjustRightInd w:val="0"/>
        <w:spacing w:line="360" w:lineRule="auto"/>
        <w:ind w:left="5040" w:hanging="5040"/>
        <w:rPr>
          <w:rFonts w:ascii="Arial" w:hAnsi="Arial" w:cs="Arial"/>
          <w:sz w:val="24"/>
        </w:rPr>
      </w:pPr>
      <w:r>
        <w:rPr>
          <w:rFonts w:ascii="Arial" w:hAnsi="Arial" w:cs="Arial"/>
          <w:sz w:val="24"/>
        </w:rPr>
        <w:tab/>
      </w:r>
      <w:r w:rsidR="001B3DFD">
        <w:rPr>
          <w:rFonts w:ascii="Arial" w:hAnsi="Arial" w:cs="Arial"/>
          <w:sz w:val="24"/>
        </w:rPr>
        <w:t>G B Liebmann Behrmann &amp; Co</w:t>
      </w:r>
      <w:r w:rsidR="00E55E2C">
        <w:rPr>
          <w:rFonts w:ascii="Arial" w:hAnsi="Arial" w:cs="Arial"/>
          <w:sz w:val="24"/>
        </w:rPr>
        <w:t>,</w:t>
      </w:r>
      <w:r w:rsidR="001B3DFD">
        <w:rPr>
          <w:rFonts w:ascii="Arial" w:hAnsi="Arial" w:cs="Arial"/>
          <w:sz w:val="24"/>
        </w:rPr>
        <w:t xml:space="preserve"> Edelstein </w:t>
      </w:r>
    </w:p>
    <w:p w:rsidR="000038B4" w:rsidRDefault="001F330B" w:rsidP="001F330B">
      <w:pPr>
        <w:widowControl w:val="0"/>
        <w:tabs>
          <w:tab w:val="left" w:pos="2410"/>
          <w:tab w:val="left" w:pos="2694"/>
        </w:tabs>
        <w:autoSpaceDE w:val="0"/>
        <w:autoSpaceDN w:val="0"/>
        <w:adjustRightInd w:val="0"/>
        <w:spacing w:line="360" w:lineRule="auto"/>
        <w:ind w:left="5040" w:hanging="5040"/>
        <w:rPr>
          <w:rFonts w:ascii="Arial" w:hAnsi="Arial" w:cs="Arial"/>
          <w:sz w:val="24"/>
        </w:rPr>
      </w:pPr>
      <w:r>
        <w:rPr>
          <w:rFonts w:ascii="Arial" w:hAnsi="Arial" w:cs="Arial"/>
          <w:sz w:val="24"/>
        </w:rPr>
        <w:lastRenderedPageBreak/>
        <w:tab/>
      </w:r>
      <w:r w:rsidR="001B3DFD">
        <w:rPr>
          <w:rFonts w:ascii="Arial" w:hAnsi="Arial" w:cs="Arial"/>
          <w:sz w:val="24"/>
        </w:rPr>
        <w:t xml:space="preserve"> </w:t>
      </w:r>
      <w:r w:rsidR="00E55E2C">
        <w:rPr>
          <w:rFonts w:ascii="Arial" w:hAnsi="Arial" w:cs="Arial"/>
          <w:sz w:val="24"/>
        </w:rPr>
        <w:t xml:space="preserve">Bosman Inc </w:t>
      </w:r>
      <w:smartTag w:uri="urn:schemas-microsoft-com:office:smarttags" w:element="City">
        <w:smartTag w:uri="urn:schemas-microsoft-com:office:smarttags" w:element="place">
          <w:r w:rsidR="001B3DFD">
            <w:rPr>
              <w:rFonts w:ascii="Arial" w:hAnsi="Arial" w:cs="Arial"/>
              <w:sz w:val="24"/>
            </w:rPr>
            <w:t>Pretoria</w:t>
          </w:r>
        </w:smartTag>
      </w:smartTag>
    </w:p>
    <w:p w:rsidR="000038B4" w:rsidRPr="00563486" w:rsidRDefault="001B3DFD" w:rsidP="001F330B">
      <w:pPr>
        <w:widowControl w:val="0"/>
        <w:tabs>
          <w:tab w:val="left" w:pos="2410"/>
          <w:tab w:val="left" w:pos="2694"/>
        </w:tabs>
        <w:autoSpaceDE w:val="0"/>
        <w:autoSpaceDN w:val="0"/>
        <w:adjustRightInd w:val="0"/>
        <w:spacing w:line="360" w:lineRule="auto"/>
        <w:ind w:left="5040" w:hanging="5040"/>
        <w:rPr>
          <w:rFonts w:ascii="Arial" w:hAnsi="Arial" w:cs="Arial"/>
          <w:sz w:val="24"/>
        </w:rPr>
      </w:pPr>
      <w:r>
        <w:rPr>
          <w:rFonts w:ascii="Arial" w:hAnsi="Arial" w:cs="Arial"/>
          <w:sz w:val="24"/>
        </w:rPr>
        <w:tab/>
        <w:t>Lovius Block</w:t>
      </w:r>
      <w:r w:rsidR="00F04A49">
        <w:rPr>
          <w:rFonts w:ascii="Arial" w:hAnsi="Arial" w:cs="Arial"/>
          <w:sz w:val="24"/>
        </w:rPr>
        <w:t>,</w:t>
      </w:r>
      <w:r w:rsidR="000038B4">
        <w:rPr>
          <w:rFonts w:ascii="Arial" w:hAnsi="Arial" w:cs="Arial"/>
          <w:sz w:val="24"/>
        </w:rPr>
        <w:t xml:space="preserve"> </w:t>
      </w:r>
      <w:smartTag w:uri="urn:schemas-microsoft-com:office:smarttags" w:element="City">
        <w:smartTag w:uri="urn:schemas-microsoft-com:office:smarttags" w:element="place">
          <w:r w:rsidR="000038B4">
            <w:rPr>
              <w:rFonts w:ascii="Arial" w:hAnsi="Arial" w:cs="Arial"/>
              <w:sz w:val="24"/>
            </w:rPr>
            <w:t>Bloemfontein</w:t>
          </w:r>
        </w:smartTag>
      </w:smartTag>
      <w:r w:rsidR="000038B4">
        <w:rPr>
          <w:rFonts w:ascii="Arial" w:hAnsi="Arial" w:cs="Arial"/>
          <w:sz w:val="24"/>
        </w:rPr>
        <w:tab/>
      </w:r>
    </w:p>
    <w:p w:rsidR="000038B4" w:rsidRDefault="000038B4" w:rsidP="001F330B">
      <w:pPr>
        <w:tabs>
          <w:tab w:val="left" w:pos="2410"/>
        </w:tabs>
        <w:spacing w:after="0" w:line="360" w:lineRule="auto"/>
        <w:jc w:val="both"/>
        <w:rPr>
          <w:rFonts w:ascii="Arial" w:hAnsi="Arial" w:cs="Arial"/>
          <w:sz w:val="24"/>
          <w:szCs w:val="24"/>
        </w:rPr>
      </w:pPr>
    </w:p>
    <w:p w:rsidR="00C8580F" w:rsidRDefault="00C8580F" w:rsidP="00C8580F">
      <w:pPr>
        <w:tabs>
          <w:tab w:val="left" w:pos="2410"/>
        </w:tabs>
        <w:spacing w:after="0" w:line="360" w:lineRule="auto"/>
        <w:jc w:val="both"/>
        <w:rPr>
          <w:rFonts w:ascii="Arial" w:hAnsi="Arial" w:cs="Arial"/>
          <w:sz w:val="24"/>
          <w:szCs w:val="24"/>
        </w:rPr>
      </w:pPr>
    </w:p>
    <w:p w:rsidR="000038B4" w:rsidRDefault="000038B4" w:rsidP="0081100A">
      <w:pPr>
        <w:spacing w:after="0" w:line="360" w:lineRule="auto"/>
        <w:jc w:val="both"/>
        <w:rPr>
          <w:rFonts w:ascii="Arial" w:hAnsi="Arial" w:cs="Arial"/>
          <w:sz w:val="24"/>
          <w:szCs w:val="24"/>
        </w:rPr>
      </w:pPr>
    </w:p>
    <w:p w:rsidR="000038B4" w:rsidRDefault="000038B4" w:rsidP="0081100A">
      <w:pPr>
        <w:spacing w:after="0" w:line="360" w:lineRule="auto"/>
        <w:jc w:val="both"/>
        <w:rPr>
          <w:rFonts w:ascii="Arial" w:hAnsi="Arial" w:cs="Arial"/>
          <w:sz w:val="24"/>
          <w:szCs w:val="24"/>
        </w:rPr>
      </w:pPr>
      <w:bookmarkStart w:id="1" w:name="_GoBack"/>
      <w:bookmarkEnd w:id="1"/>
    </w:p>
    <w:p w:rsidR="000038B4" w:rsidRDefault="000038B4" w:rsidP="0081100A">
      <w:pPr>
        <w:spacing w:after="0" w:line="360" w:lineRule="auto"/>
        <w:jc w:val="both"/>
        <w:rPr>
          <w:rFonts w:ascii="Arial" w:hAnsi="Arial" w:cs="Arial"/>
          <w:sz w:val="24"/>
          <w:szCs w:val="24"/>
        </w:rPr>
      </w:pPr>
    </w:p>
    <w:p w:rsidR="000038B4" w:rsidRDefault="000038B4" w:rsidP="0081100A">
      <w:pPr>
        <w:spacing w:after="0" w:line="360" w:lineRule="auto"/>
        <w:jc w:val="both"/>
        <w:rPr>
          <w:rFonts w:ascii="Arial" w:hAnsi="Arial" w:cs="Arial"/>
          <w:sz w:val="24"/>
          <w:szCs w:val="24"/>
        </w:rPr>
      </w:pPr>
    </w:p>
    <w:p w:rsidR="000038B4" w:rsidRPr="000C5269" w:rsidRDefault="000038B4" w:rsidP="0081100A">
      <w:pPr>
        <w:spacing w:after="0" w:line="360" w:lineRule="auto"/>
        <w:jc w:val="both"/>
        <w:rPr>
          <w:rFonts w:ascii="Arial" w:hAnsi="Arial" w:cs="Arial"/>
          <w:sz w:val="24"/>
          <w:szCs w:val="24"/>
        </w:rPr>
      </w:pPr>
    </w:p>
    <w:sectPr w:rsidR="000038B4" w:rsidRPr="000C5269" w:rsidSect="00635112">
      <w:headerReference w:type="even" r:id="rId7"/>
      <w:headerReference w:type="default" r:id="rId8"/>
      <w:pgSz w:w="11906" w:h="16838"/>
      <w:pgMar w:top="1440" w:right="1440" w:bottom="1440" w:left="1440" w:header="708" w:footer="708" w:gutter="0"/>
      <w:cols w:space="708"/>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6CDE" w:rsidRDefault="00C76CDE" w:rsidP="00992A02">
      <w:pPr>
        <w:spacing w:after="0" w:line="240" w:lineRule="auto"/>
      </w:pPr>
      <w:r>
        <w:separator/>
      </w:r>
    </w:p>
  </w:endnote>
  <w:endnote w:type="continuationSeparator" w:id="0">
    <w:p w:rsidR="00C76CDE" w:rsidRDefault="00C76CDE" w:rsidP="00992A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6CDE" w:rsidRDefault="00C76CDE" w:rsidP="00992A02">
      <w:pPr>
        <w:spacing w:after="0" w:line="240" w:lineRule="auto"/>
      </w:pPr>
      <w:r>
        <w:separator/>
      </w:r>
    </w:p>
  </w:footnote>
  <w:footnote w:type="continuationSeparator" w:id="0">
    <w:p w:rsidR="00C76CDE" w:rsidRDefault="00C76CDE" w:rsidP="00992A02">
      <w:pPr>
        <w:spacing w:after="0" w:line="240" w:lineRule="auto"/>
      </w:pPr>
      <w:r>
        <w:continuationSeparator/>
      </w:r>
    </w:p>
  </w:footnote>
  <w:footnote w:id="1">
    <w:p w:rsidR="00D87665" w:rsidRPr="00E002D2" w:rsidRDefault="00D87665" w:rsidP="00C233F7">
      <w:pPr>
        <w:pStyle w:val="FootnoteText"/>
        <w:rPr>
          <w:rFonts w:ascii="Arial" w:hAnsi="Arial" w:cs="Arial"/>
        </w:rPr>
      </w:pPr>
      <w:r>
        <w:rPr>
          <w:rStyle w:val="FootnoteReference"/>
        </w:rPr>
        <w:footnoteRef/>
      </w:r>
      <w:r>
        <w:t xml:space="preserve"> </w:t>
      </w:r>
      <w:proofErr w:type="gramStart"/>
      <w:r w:rsidRPr="00E002D2">
        <w:rPr>
          <w:rFonts w:ascii="Arial" w:hAnsi="Arial" w:cs="Arial"/>
          <w:i/>
        </w:rPr>
        <w:t>Frye’s (Pty) Ltd v Ries</w:t>
      </w:r>
      <w:r w:rsidRPr="00E002D2">
        <w:rPr>
          <w:rFonts w:ascii="Arial" w:hAnsi="Arial" w:cs="Arial"/>
        </w:rPr>
        <w:t xml:space="preserve"> 1957 (3) SA 575 (A) at 583E-F.</w:t>
      </w:r>
      <w:proofErr w:type="gramEnd"/>
    </w:p>
  </w:footnote>
  <w:footnote w:id="2">
    <w:p w:rsidR="00D87665" w:rsidRDefault="00D87665">
      <w:pPr>
        <w:pStyle w:val="FootnoteText"/>
      </w:pPr>
      <w:r>
        <w:rPr>
          <w:rStyle w:val="FootnoteReference"/>
        </w:rPr>
        <w:footnoteRef/>
      </w:r>
      <w:r>
        <w:t xml:space="preserve"> Ibid.</w:t>
      </w:r>
    </w:p>
  </w:footnote>
  <w:footnote w:id="3">
    <w:p w:rsidR="00D87665" w:rsidRPr="00E002D2" w:rsidRDefault="00D87665" w:rsidP="00C233F7">
      <w:pPr>
        <w:pStyle w:val="FootnoteText"/>
        <w:rPr>
          <w:rFonts w:ascii="Arial" w:hAnsi="Arial" w:cs="Arial"/>
        </w:rPr>
      </w:pPr>
      <w:r w:rsidRPr="00E002D2">
        <w:rPr>
          <w:rStyle w:val="FootnoteReference"/>
          <w:rFonts w:ascii="Arial" w:hAnsi="Arial" w:cs="Arial"/>
        </w:rPr>
        <w:footnoteRef/>
      </w:r>
      <w:r w:rsidRPr="00E002D2">
        <w:rPr>
          <w:rFonts w:ascii="Arial" w:hAnsi="Arial" w:cs="Arial"/>
        </w:rPr>
        <w:t xml:space="preserve"> </w:t>
      </w:r>
      <w:proofErr w:type="gramStart"/>
      <w:r w:rsidRPr="00E002D2">
        <w:rPr>
          <w:rFonts w:ascii="Arial" w:hAnsi="Arial" w:cs="Arial"/>
          <w:i/>
        </w:rPr>
        <w:t>Legator McKenna Inc v Shea</w:t>
      </w:r>
      <w:r w:rsidRPr="00E002D2">
        <w:rPr>
          <w:rFonts w:ascii="Arial" w:hAnsi="Arial" w:cs="Arial"/>
        </w:rPr>
        <w:t xml:space="preserve"> 2010 (1) SA 35 (SCA) paras 21 and 22.</w:t>
      </w:r>
      <w:proofErr w:type="gramEnd"/>
    </w:p>
  </w:footnote>
  <w:footnote w:id="4">
    <w:p w:rsidR="00D87665" w:rsidRPr="00E002D2" w:rsidRDefault="00D87665" w:rsidP="00C233F7">
      <w:pPr>
        <w:pStyle w:val="FootnoteText"/>
        <w:rPr>
          <w:rFonts w:ascii="Arial" w:hAnsi="Arial" w:cs="Arial"/>
        </w:rPr>
      </w:pPr>
      <w:r w:rsidRPr="00E002D2">
        <w:rPr>
          <w:rStyle w:val="FootnoteReference"/>
          <w:rFonts w:ascii="Arial" w:hAnsi="Arial" w:cs="Arial"/>
        </w:rPr>
        <w:footnoteRef/>
      </w:r>
      <w:r>
        <w:rPr>
          <w:rFonts w:ascii="Arial" w:hAnsi="Arial" w:cs="Arial"/>
        </w:rPr>
        <w:t xml:space="preserve"> </w:t>
      </w:r>
      <w:proofErr w:type="gramStart"/>
      <w:r w:rsidRPr="00FC7D86">
        <w:rPr>
          <w:rFonts w:ascii="Arial" w:hAnsi="Arial" w:cs="Arial"/>
          <w:i/>
        </w:rPr>
        <w:t>Commissioner of Customs and Excise v Randles, Brothers and Hudson Ltd</w:t>
      </w:r>
      <w:r>
        <w:rPr>
          <w:rFonts w:ascii="Arial" w:hAnsi="Arial" w:cs="Arial"/>
          <w:i/>
        </w:rPr>
        <w:t xml:space="preserve"> </w:t>
      </w:r>
      <w:r w:rsidRPr="00E002D2">
        <w:rPr>
          <w:rFonts w:ascii="Arial" w:hAnsi="Arial" w:cs="Arial"/>
        </w:rPr>
        <w:t>1941 AD 369.</w:t>
      </w:r>
      <w:proofErr w:type="gramEnd"/>
    </w:p>
  </w:footnote>
  <w:footnote w:id="5">
    <w:p w:rsidR="00D87665" w:rsidRPr="00E002D2" w:rsidRDefault="00D87665" w:rsidP="00C233F7">
      <w:pPr>
        <w:pStyle w:val="FootnoteText"/>
        <w:rPr>
          <w:rFonts w:ascii="Arial" w:hAnsi="Arial" w:cs="Arial"/>
        </w:rPr>
      </w:pPr>
      <w:r w:rsidRPr="00E002D2">
        <w:rPr>
          <w:rStyle w:val="FootnoteReference"/>
          <w:rFonts w:ascii="Arial" w:hAnsi="Arial" w:cs="Arial"/>
        </w:rPr>
        <w:footnoteRef/>
      </w:r>
      <w:r w:rsidRPr="00E002D2">
        <w:rPr>
          <w:rFonts w:ascii="Arial" w:hAnsi="Arial" w:cs="Arial"/>
        </w:rPr>
        <w:t xml:space="preserve"> </w:t>
      </w:r>
      <w:proofErr w:type="gramStart"/>
      <w:r>
        <w:rPr>
          <w:rFonts w:ascii="Arial" w:hAnsi="Arial" w:cs="Arial"/>
          <w:i/>
        </w:rPr>
        <w:t xml:space="preserve">Preller v </w:t>
      </w:r>
      <w:r w:rsidRPr="00D87665">
        <w:rPr>
          <w:rFonts w:ascii="Arial" w:hAnsi="Arial" w:cs="Arial"/>
        </w:rPr>
        <w:t>Jordaan</w:t>
      </w:r>
      <w:r>
        <w:rPr>
          <w:rFonts w:ascii="Arial" w:hAnsi="Arial" w:cs="Arial"/>
        </w:rPr>
        <w:t xml:space="preserve"> </w:t>
      </w:r>
      <w:r w:rsidRPr="00D87665">
        <w:rPr>
          <w:rFonts w:ascii="Arial" w:hAnsi="Arial" w:cs="Arial"/>
        </w:rPr>
        <w:t>1956</w:t>
      </w:r>
      <w:r w:rsidRPr="00E002D2">
        <w:rPr>
          <w:rFonts w:ascii="Arial" w:hAnsi="Arial" w:cs="Arial"/>
        </w:rPr>
        <w:t xml:space="preserve"> (1) 483 (A) at 496.</w:t>
      </w:r>
      <w:proofErr w:type="gramEnd"/>
      <w:r w:rsidRPr="00E002D2">
        <w:rPr>
          <w:rFonts w:ascii="Arial" w:hAnsi="Arial" w:cs="Arial"/>
        </w:rPr>
        <w:t xml:space="preserve">  See P J Badenhorst, Juanita M Pienaar and Hanri Mostert </w:t>
      </w:r>
      <w:r w:rsidRPr="00E002D2">
        <w:rPr>
          <w:rFonts w:ascii="Arial" w:hAnsi="Arial" w:cs="Arial"/>
          <w:i/>
        </w:rPr>
        <w:t xml:space="preserve">Silberberg and </w:t>
      </w:r>
      <w:proofErr w:type="gramStart"/>
      <w:r w:rsidRPr="00E002D2">
        <w:rPr>
          <w:rFonts w:ascii="Arial" w:hAnsi="Arial" w:cs="Arial"/>
          <w:i/>
        </w:rPr>
        <w:t>Schoeman’s</w:t>
      </w:r>
      <w:proofErr w:type="gramEnd"/>
      <w:r w:rsidRPr="00E002D2">
        <w:rPr>
          <w:rFonts w:ascii="Arial" w:hAnsi="Arial" w:cs="Arial"/>
          <w:i/>
        </w:rPr>
        <w:t xml:space="preserve"> The Law of Property</w:t>
      </w:r>
      <w:r w:rsidRPr="00E002D2">
        <w:rPr>
          <w:rFonts w:ascii="Arial" w:hAnsi="Arial" w:cs="Arial"/>
        </w:rPr>
        <w:t xml:space="preserve"> 5 ed (2006) </w:t>
      </w:r>
      <w:r>
        <w:rPr>
          <w:rFonts w:ascii="Arial" w:hAnsi="Arial" w:cs="Arial"/>
        </w:rPr>
        <w:t xml:space="preserve">pp </w:t>
      </w:r>
      <w:r w:rsidRPr="00E002D2">
        <w:rPr>
          <w:rFonts w:ascii="Arial" w:hAnsi="Arial" w:cs="Arial"/>
        </w:rPr>
        <w:t>222-224 and 230-232.</w:t>
      </w:r>
    </w:p>
  </w:footnote>
  <w:footnote w:id="6">
    <w:p w:rsidR="00D87665" w:rsidRPr="00E002D2" w:rsidRDefault="00D87665" w:rsidP="00C233F7">
      <w:pPr>
        <w:pStyle w:val="FootnoteText"/>
        <w:rPr>
          <w:rFonts w:ascii="Arial" w:hAnsi="Arial" w:cs="Arial"/>
        </w:rPr>
      </w:pPr>
      <w:r w:rsidRPr="00E002D2">
        <w:rPr>
          <w:rStyle w:val="FootnoteReference"/>
          <w:rFonts w:ascii="Arial" w:hAnsi="Arial" w:cs="Arial"/>
        </w:rPr>
        <w:footnoteRef/>
      </w:r>
      <w:r w:rsidRPr="00E002D2">
        <w:rPr>
          <w:rFonts w:ascii="Arial" w:hAnsi="Arial" w:cs="Arial"/>
        </w:rPr>
        <w:t xml:space="preserve"> </w:t>
      </w:r>
      <w:proofErr w:type="gramStart"/>
      <w:r w:rsidRPr="00E002D2">
        <w:rPr>
          <w:rFonts w:ascii="Arial" w:hAnsi="Arial" w:cs="Arial"/>
          <w:i/>
        </w:rPr>
        <w:t>Meintjies</w:t>
      </w:r>
      <w:r>
        <w:rPr>
          <w:rFonts w:ascii="Arial" w:hAnsi="Arial" w:cs="Arial"/>
          <w:i/>
        </w:rPr>
        <w:t xml:space="preserve"> NO</w:t>
      </w:r>
      <w:r w:rsidRPr="00E002D2">
        <w:rPr>
          <w:rFonts w:ascii="Arial" w:hAnsi="Arial" w:cs="Arial"/>
          <w:i/>
        </w:rPr>
        <w:t xml:space="preserve"> v Coetzer</w:t>
      </w:r>
      <w:r w:rsidRPr="00E002D2">
        <w:rPr>
          <w:rFonts w:ascii="Arial" w:hAnsi="Arial" w:cs="Arial"/>
        </w:rPr>
        <w:t xml:space="preserve"> 2010 (5) SA 186 (SCA) para 9.</w:t>
      </w:r>
      <w:proofErr w:type="gramEnd"/>
    </w:p>
  </w:footnote>
  <w:footnote w:id="7">
    <w:p w:rsidR="00D87665" w:rsidRPr="00E002D2" w:rsidRDefault="00D87665" w:rsidP="00C233F7">
      <w:pPr>
        <w:pStyle w:val="FootnoteText"/>
        <w:rPr>
          <w:rFonts w:ascii="Arial" w:hAnsi="Arial" w:cs="Arial"/>
        </w:rPr>
      </w:pPr>
      <w:r w:rsidRPr="00E002D2">
        <w:rPr>
          <w:rStyle w:val="FootnoteReference"/>
          <w:rFonts w:ascii="Arial" w:hAnsi="Arial" w:cs="Arial"/>
        </w:rPr>
        <w:footnoteRef/>
      </w:r>
      <w:r w:rsidRPr="00E002D2">
        <w:rPr>
          <w:rFonts w:ascii="Arial" w:hAnsi="Arial" w:cs="Arial"/>
        </w:rPr>
        <w:t xml:space="preserve"> </w:t>
      </w:r>
      <w:r w:rsidRPr="00E002D2">
        <w:rPr>
          <w:rFonts w:ascii="Arial" w:hAnsi="Arial" w:cs="Arial"/>
          <w:i/>
        </w:rPr>
        <w:t xml:space="preserve">Gainsford &amp; others NNO v Tiffski Property Investments (Pty) </w:t>
      </w:r>
      <w:proofErr w:type="gramStart"/>
      <w:r w:rsidRPr="00E002D2">
        <w:rPr>
          <w:rFonts w:ascii="Arial" w:hAnsi="Arial" w:cs="Arial"/>
          <w:i/>
        </w:rPr>
        <w:t xml:space="preserve">Ltd </w:t>
      </w:r>
      <w:r w:rsidRPr="00E002D2">
        <w:rPr>
          <w:rFonts w:ascii="Arial" w:hAnsi="Arial" w:cs="Arial"/>
        </w:rPr>
        <w:t xml:space="preserve"> 2012</w:t>
      </w:r>
      <w:proofErr w:type="gramEnd"/>
      <w:r w:rsidRPr="00E002D2">
        <w:rPr>
          <w:rFonts w:ascii="Arial" w:hAnsi="Arial" w:cs="Arial"/>
        </w:rPr>
        <w:t xml:space="preserve"> (3) SA 35 (SCA) paras 38 and 39. </w:t>
      </w:r>
      <w:proofErr w:type="gramStart"/>
      <w:r w:rsidRPr="00E002D2">
        <w:rPr>
          <w:rFonts w:ascii="Arial" w:hAnsi="Arial" w:cs="Arial"/>
        </w:rPr>
        <w:t xml:space="preserve">See also </w:t>
      </w:r>
      <w:smartTag w:uri="urn:schemas-microsoft-com:office:smarttags" w:element="place">
        <w:smartTag w:uri="urn:schemas-microsoft-com:office:smarttags" w:element="PlaceName">
          <w:r w:rsidRPr="00E002D2">
            <w:rPr>
              <w:rFonts w:ascii="Arial" w:hAnsi="Arial" w:cs="Arial"/>
              <w:i/>
            </w:rPr>
            <w:t>Knysna</w:t>
          </w:r>
        </w:smartTag>
        <w:r w:rsidRPr="00E002D2">
          <w:rPr>
            <w:rFonts w:ascii="Arial" w:hAnsi="Arial" w:cs="Arial"/>
            <w:i/>
          </w:rPr>
          <w:t xml:space="preserve"> </w:t>
        </w:r>
        <w:smartTag w:uri="urn:schemas-microsoft-com:office:smarttags" w:element="PlaceType">
          <w:r w:rsidRPr="00E002D2">
            <w:rPr>
              <w:rFonts w:ascii="Arial" w:hAnsi="Arial" w:cs="Arial"/>
              <w:i/>
            </w:rPr>
            <w:t>Hotel</w:t>
          </w:r>
        </w:smartTag>
        <w:r w:rsidRPr="00E002D2">
          <w:rPr>
            <w:rFonts w:ascii="Arial" w:hAnsi="Arial" w:cs="Arial"/>
            <w:i/>
          </w:rPr>
          <w:t xml:space="preserve"> </w:t>
        </w:r>
        <w:smartTag w:uri="urn:schemas-microsoft-com:office:smarttags" w:element="PlaceName">
          <w:r w:rsidRPr="00E002D2">
            <w:rPr>
              <w:rFonts w:ascii="Arial" w:hAnsi="Arial" w:cs="Arial"/>
              <w:i/>
            </w:rPr>
            <w:t>CC</w:t>
          </w:r>
        </w:smartTag>
      </w:smartTag>
      <w:r w:rsidRPr="00E002D2">
        <w:rPr>
          <w:rFonts w:ascii="Arial" w:hAnsi="Arial" w:cs="Arial"/>
          <w:i/>
        </w:rPr>
        <w:t xml:space="preserve"> v Coetzee NO</w:t>
      </w:r>
      <w:r w:rsidRPr="00E002D2">
        <w:rPr>
          <w:rFonts w:ascii="Arial" w:hAnsi="Arial" w:cs="Arial"/>
        </w:rPr>
        <w:t xml:space="preserve"> 1998 (2) SA 743 (SCA) at 753A-I.</w:t>
      </w:r>
      <w:proofErr w:type="gramEnd"/>
      <w:r w:rsidRPr="00E002D2">
        <w:rPr>
          <w:rFonts w:ascii="Arial" w:hAnsi="Arial" w:cs="Arial"/>
        </w:rPr>
        <w:t xml:space="preserve"> </w:t>
      </w:r>
    </w:p>
  </w:footnote>
  <w:footnote w:id="8">
    <w:p w:rsidR="00D87665" w:rsidRPr="00E002D2" w:rsidRDefault="00D87665" w:rsidP="00C233F7">
      <w:pPr>
        <w:pStyle w:val="FootnoteText"/>
        <w:rPr>
          <w:rFonts w:ascii="Arial" w:hAnsi="Arial" w:cs="Arial"/>
        </w:rPr>
      </w:pPr>
      <w:r w:rsidRPr="00E002D2">
        <w:rPr>
          <w:rStyle w:val="FootnoteReference"/>
          <w:rFonts w:ascii="Arial" w:hAnsi="Arial" w:cs="Arial"/>
        </w:rPr>
        <w:footnoteRef/>
      </w:r>
      <w:r w:rsidRPr="00E002D2">
        <w:rPr>
          <w:rFonts w:ascii="Arial" w:hAnsi="Arial" w:cs="Arial"/>
        </w:rPr>
        <w:t xml:space="preserve"> </w:t>
      </w:r>
      <w:proofErr w:type="gramStart"/>
      <w:r w:rsidRPr="00E002D2">
        <w:rPr>
          <w:rFonts w:ascii="Arial" w:hAnsi="Arial" w:cs="Arial"/>
          <w:i/>
        </w:rPr>
        <w:t>Cuninghame v First Ready Development 249 (Association Incorporated under section 21)</w:t>
      </w:r>
      <w:r w:rsidRPr="00E002D2">
        <w:rPr>
          <w:rFonts w:ascii="Arial" w:hAnsi="Arial" w:cs="Arial"/>
        </w:rPr>
        <w:t xml:space="preserve"> 2010 (5) SA 325 (SCA) paras 29 and 30.</w:t>
      </w:r>
      <w:proofErr w:type="gramEnd"/>
    </w:p>
  </w:footnote>
  <w:footnote w:id="9">
    <w:p w:rsidR="00D87665" w:rsidRPr="00E002D2" w:rsidRDefault="00D87665" w:rsidP="00C233F7">
      <w:pPr>
        <w:pStyle w:val="FootnoteText"/>
        <w:rPr>
          <w:rFonts w:ascii="Arial" w:hAnsi="Arial" w:cs="Arial"/>
        </w:rPr>
      </w:pPr>
      <w:r w:rsidRPr="00E002D2">
        <w:rPr>
          <w:rStyle w:val="FootnoteReference"/>
          <w:rFonts w:ascii="Arial" w:hAnsi="Arial" w:cs="Arial"/>
        </w:rPr>
        <w:footnoteRef/>
      </w:r>
      <w:r w:rsidRPr="00E002D2">
        <w:rPr>
          <w:rFonts w:ascii="Arial" w:hAnsi="Arial" w:cs="Arial"/>
        </w:rPr>
        <w:t xml:space="preserve"> </w:t>
      </w:r>
      <w:proofErr w:type="gramStart"/>
      <w:r w:rsidRPr="00E002D2">
        <w:rPr>
          <w:rFonts w:ascii="Arial" w:hAnsi="Arial" w:cs="Arial"/>
          <w:i/>
        </w:rPr>
        <w:t>Thompson v South African Broadcasting Corporation</w:t>
      </w:r>
      <w:r w:rsidRPr="00E002D2">
        <w:rPr>
          <w:rFonts w:ascii="Arial" w:hAnsi="Arial" w:cs="Arial"/>
        </w:rPr>
        <w:t xml:space="preserve"> 2001 (3) SA 746 (SCA) para 7.</w:t>
      </w:r>
      <w:proofErr w:type="gramEnd"/>
    </w:p>
  </w:footnote>
  <w:footnote w:id="10">
    <w:p w:rsidR="00D87665" w:rsidRPr="00E002D2" w:rsidRDefault="00D87665" w:rsidP="00C233F7">
      <w:pPr>
        <w:pStyle w:val="FootnoteText"/>
        <w:rPr>
          <w:rFonts w:ascii="Arial" w:hAnsi="Arial" w:cs="Arial"/>
        </w:rPr>
      </w:pPr>
      <w:r w:rsidRPr="00E002D2">
        <w:rPr>
          <w:rStyle w:val="FootnoteReference"/>
          <w:rFonts w:ascii="Arial" w:hAnsi="Arial" w:cs="Arial"/>
        </w:rPr>
        <w:footnoteRef/>
      </w:r>
      <w:r w:rsidRPr="00E002D2">
        <w:rPr>
          <w:rFonts w:ascii="Arial" w:hAnsi="Arial" w:cs="Arial"/>
        </w:rPr>
        <w:t xml:space="preserve"> </w:t>
      </w:r>
      <w:proofErr w:type="gramStart"/>
      <w:r w:rsidRPr="00E002D2">
        <w:rPr>
          <w:rFonts w:ascii="Arial" w:hAnsi="Arial" w:cs="Arial"/>
          <w:i/>
        </w:rPr>
        <w:t>CUSA v Tao Ying Metal Industries</w:t>
      </w:r>
      <w:r w:rsidRPr="00E002D2">
        <w:rPr>
          <w:rFonts w:ascii="Arial" w:hAnsi="Arial" w:cs="Arial"/>
        </w:rPr>
        <w:t xml:space="preserve"> 2009 (2) SA 204 (CC) para 68.</w:t>
      </w:r>
      <w:proofErr w:type="gramEnd"/>
    </w:p>
  </w:footnote>
  <w:footnote w:id="11">
    <w:p w:rsidR="00D87665" w:rsidRPr="00E002D2" w:rsidRDefault="00D87665" w:rsidP="00C233F7">
      <w:pPr>
        <w:pStyle w:val="FootnoteText"/>
        <w:rPr>
          <w:rFonts w:ascii="Arial" w:hAnsi="Arial" w:cs="Arial"/>
        </w:rPr>
      </w:pPr>
      <w:r w:rsidRPr="00E002D2">
        <w:rPr>
          <w:rStyle w:val="FootnoteReference"/>
          <w:rFonts w:ascii="Arial" w:hAnsi="Arial" w:cs="Arial"/>
        </w:rPr>
        <w:footnoteRef/>
      </w:r>
      <w:r w:rsidRPr="00E002D2">
        <w:rPr>
          <w:rFonts w:ascii="Arial" w:hAnsi="Arial" w:cs="Arial"/>
        </w:rPr>
        <w:t xml:space="preserve"> </w:t>
      </w:r>
      <w:proofErr w:type="gramStart"/>
      <w:r w:rsidRPr="00E002D2">
        <w:rPr>
          <w:rFonts w:ascii="Arial" w:hAnsi="Arial" w:cs="Arial"/>
          <w:i/>
        </w:rPr>
        <w:t xml:space="preserve">Meintjies </w:t>
      </w:r>
      <w:r>
        <w:rPr>
          <w:rFonts w:ascii="Arial" w:hAnsi="Arial" w:cs="Arial"/>
          <w:i/>
        </w:rPr>
        <w:t xml:space="preserve">NO </w:t>
      </w:r>
      <w:r w:rsidRPr="00E002D2">
        <w:rPr>
          <w:rFonts w:ascii="Arial" w:hAnsi="Arial" w:cs="Arial"/>
          <w:i/>
        </w:rPr>
        <w:t>v Coetzer</w:t>
      </w:r>
      <w:r w:rsidRPr="00E002D2">
        <w:rPr>
          <w:rFonts w:ascii="Arial" w:hAnsi="Arial" w:cs="Arial"/>
        </w:rPr>
        <w:t xml:space="preserve"> 2010 (5) SA 186 (SCA) para 15.</w:t>
      </w:r>
      <w:proofErr w:type="gramEnd"/>
    </w:p>
  </w:footnote>
  <w:footnote w:id="12">
    <w:p w:rsidR="00D87665" w:rsidRPr="00E002D2" w:rsidRDefault="00D87665" w:rsidP="00C233F7">
      <w:pPr>
        <w:pStyle w:val="FootnoteText"/>
        <w:rPr>
          <w:rFonts w:ascii="Arial" w:hAnsi="Arial" w:cs="Arial"/>
        </w:rPr>
      </w:pPr>
      <w:r w:rsidRPr="00E002D2">
        <w:rPr>
          <w:rStyle w:val="FootnoteReference"/>
          <w:rFonts w:ascii="Arial" w:hAnsi="Arial" w:cs="Arial"/>
        </w:rPr>
        <w:footnoteRef/>
      </w:r>
      <w:r w:rsidRPr="00E002D2">
        <w:rPr>
          <w:rFonts w:ascii="Arial" w:hAnsi="Arial" w:cs="Arial"/>
        </w:rPr>
        <w:t xml:space="preserve"> </w:t>
      </w:r>
      <w:proofErr w:type="gramStart"/>
      <w:r w:rsidRPr="00E002D2">
        <w:rPr>
          <w:rFonts w:ascii="Arial" w:hAnsi="Arial" w:cs="Arial"/>
          <w:i/>
        </w:rPr>
        <w:t>Kuzwayo v Estate Late Masilela</w:t>
      </w:r>
      <w:r w:rsidRPr="00E002D2">
        <w:rPr>
          <w:rFonts w:ascii="Arial" w:hAnsi="Arial" w:cs="Arial"/>
        </w:rPr>
        <w:t xml:space="preserve"> [2011] </w:t>
      </w:r>
      <w:r>
        <w:rPr>
          <w:rFonts w:ascii="Arial" w:hAnsi="Arial" w:cs="Arial"/>
        </w:rPr>
        <w:t xml:space="preserve">2 </w:t>
      </w:r>
      <w:r w:rsidRPr="00E002D2">
        <w:rPr>
          <w:rFonts w:ascii="Arial" w:hAnsi="Arial" w:cs="Arial"/>
        </w:rPr>
        <w:t>All SA 599 (SCA) para 28.</w:t>
      </w:r>
      <w:proofErr w:type="gramEnd"/>
      <w:r w:rsidRPr="00E002D2">
        <w:rPr>
          <w:rFonts w:ascii="Arial" w:hAnsi="Arial" w:cs="Arial"/>
        </w:rPr>
        <w:t xml:space="preserve"> See also </w:t>
      </w:r>
      <w:r w:rsidRPr="00E002D2">
        <w:rPr>
          <w:rFonts w:ascii="Arial" w:hAnsi="Arial" w:cs="Arial"/>
          <w:i/>
        </w:rPr>
        <w:t xml:space="preserve">Seale v Van Rooyen NO: Provincial Government, </w:t>
      </w:r>
      <w:smartTag w:uri="urn:schemas-microsoft-com:office:smarttags" w:element="place">
        <w:smartTag w:uri="urn:schemas-microsoft-com:office:smarttags" w:element="PlaceName">
          <w:r w:rsidRPr="00E002D2">
            <w:rPr>
              <w:rFonts w:ascii="Arial" w:hAnsi="Arial" w:cs="Arial"/>
              <w:i/>
            </w:rPr>
            <w:t>North West</w:t>
          </w:r>
        </w:smartTag>
        <w:r w:rsidRPr="00E002D2">
          <w:rPr>
            <w:rFonts w:ascii="Arial" w:hAnsi="Arial" w:cs="Arial"/>
            <w:i/>
          </w:rPr>
          <w:t xml:space="preserve"> </w:t>
        </w:r>
        <w:smartTag w:uri="urn:schemas-microsoft-com:office:smarttags" w:element="PlaceType">
          <w:r w:rsidRPr="00E002D2">
            <w:rPr>
              <w:rFonts w:ascii="Arial" w:hAnsi="Arial" w:cs="Arial"/>
              <w:i/>
            </w:rPr>
            <w:t>Province</w:t>
          </w:r>
        </w:smartTag>
      </w:smartTag>
      <w:r w:rsidRPr="00E002D2">
        <w:rPr>
          <w:rFonts w:ascii="Arial" w:hAnsi="Arial" w:cs="Arial"/>
          <w:i/>
        </w:rPr>
        <w:t xml:space="preserve"> v Van Rooyen</w:t>
      </w:r>
      <w:r w:rsidRPr="00E002D2">
        <w:rPr>
          <w:rFonts w:ascii="Arial" w:hAnsi="Arial" w:cs="Arial"/>
        </w:rPr>
        <w:t xml:space="preserve"> 2008 (4) SA 43 (SCA) para 12.</w:t>
      </w:r>
    </w:p>
  </w:footnote>
  <w:footnote w:id="13">
    <w:p w:rsidR="00D87665" w:rsidRPr="00E002D2" w:rsidRDefault="00D87665" w:rsidP="00C233F7">
      <w:pPr>
        <w:pStyle w:val="FootnoteText"/>
        <w:rPr>
          <w:rFonts w:ascii="Arial" w:hAnsi="Arial" w:cs="Arial"/>
        </w:rPr>
      </w:pPr>
      <w:r w:rsidRPr="00E002D2">
        <w:rPr>
          <w:rStyle w:val="FootnoteReference"/>
          <w:rFonts w:ascii="Arial" w:hAnsi="Arial" w:cs="Arial"/>
        </w:rPr>
        <w:footnoteRef/>
      </w:r>
      <w:r w:rsidRPr="00E002D2">
        <w:rPr>
          <w:rFonts w:ascii="Arial" w:hAnsi="Arial" w:cs="Arial"/>
        </w:rPr>
        <w:t xml:space="preserve"> See the definition in s 1 of </w:t>
      </w:r>
      <w:r>
        <w:rPr>
          <w:rFonts w:ascii="Arial" w:hAnsi="Arial" w:cs="Arial"/>
        </w:rPr>
        <w:t xml:space="preserve">the </w:t>
      </w:r>
      <w:r w:rsidRPr="00E002D2">
        <w:rPr>
          <w:rFonts w:ascii="Arial" w:hAnsi="Arial" w:cs="Arial"/>
        </w:rPr>
        <w:t xml:space="preserve">PAJA: a decision made by an organ of state under an empowering provision of a statute that ‘adversely affects the rights of any person and which has a direct, external legal effect’. In </w:t>
      </w:r>
      <w:r w:rsidRPr="00E002D2">
        <w:rPr>
          <w:rFonts w:ascii="Arial" w:hAnsi="Arial" w:cs="Arial"/>
          <w:i/>
        </w:rPr>
        <w:t xml:space="preserve">Grey’s </w:t>
      </w:r>
      <w:smartTag w:uri="urn:schemas-microsoft-com:office:smarttags" w:element="place">
        <w:smartTag w:uri="urn:schemas-microsoft-com:office:smarttags" w:element="PlaceName">
          <w:r w:rsidRPr="00E002D2">
            <w:rPr>
              <w:rFonts w:ascii="Arial" w:hAnsi="Arial" w:cs="Arial"/>
              <w:i/>
            </w:rPr>
            <w:t>Marine</w:t>
          </w:r>
        </w:smartTag>
        <w:r w:rsidRPr="00E002D2">
          <w:rPr>
            <w:rFonts w:ascii="Arial" w:hAnsi="Arial" w:cs="Arial"/>
            <w:i/>
          </w:rPr>
          <w:t xml:space="preserve"> </w:t>
        </w:r>
        <w:smartTag w:uri="urn:schemas-microsoft-com:office:smarttags" w:element="PlaceName">
          <w:r w:rsidRPr="00E002D2">
            <w:rPr>
              <w:rFonts w:ascii="Arial" w:hAnsi="Arial" w:cs="Arial"/>
              <w:i/>
            </w:rPr>
            <w:t>Hout</w:t>
          </w:r>
        </w:smartTag>
        <w:r w:rsidRPr="00E002D2">
          <w:rPr>
            <w:rFonts w:ascii="Arial" w:hAnsi="Arial" w:cs="Arial"/>
            <w:i/>
          </w:rPr>
          <w:t xml:space="preserve"> </w:t>
        </w:r>
        <w:smartTag w:uri="urn:schemas-microsoft-com:office:smarttags" w:element="PlaceType">
          <w:r w:rsidRPr="00E002D2">
            <w:rPr>
              <w:rFonts w:ascii="Arial" w:hAnsi="Arial" w:cs="Arial"/>
              <w:i/>
            </w:rPr>
            <w:t>Bay</w:t>
          </w:r>
        </w:smartTag>
      </w:smartTag>
      <w:r w:rsidRPr="00E002D2">
        <w:rPr>
          <w:rFonts w:ascii="Arial" w:hAnsi="Arial" w:cs="Arial"/>
          <w:i/>
        </w:rPr>
        <w:t xml:space="preserve"> (Pty) Ltd v Minister of Public Works</w:t>
      </w:r>
      <w:r w:rsidRPr="00E002D2">
        <w:rPr>
          <w:rFonts w:ascii="Arial" w:hAnsi="Arial" w:cs="Arial"/>
        </w:rPr>
        <w:t xml:space="preserve"> 2005 (6) SA 313 (SCA) para 23 Nugent JA suggested that ‘adversely affects’ means ‘has the capacity to affect legal rights’.</w:t>
      </w:r>
    </w:p>
  </w:footnote>
  <w:footnote w:id="14">
    <w:p w:rsidR="00D87665" w:rsidRPr="00E002D2" w:rsidRDefault="00D87665" w:rsidP="00C233F7">
      <w:pPr>
        <w:pStyle w:val="FootnoteText"/>
        <w:rPr>
          <w:rFonts w:ascii="Arial" w:hAnsi="Arial" w:cs="Arial"/>
          <w:i/>
        </w:rPr>
      </w:pPr>
      <w:r w:rsidRPr="00E002D2">
        <w:rPr>
          <w:rStyle w:val="FootnoteReference"/>
          <w:rFonts w:ascii="Arial" w:hAnsi="Arial" w:cs="Arial"/>
        </w:rPr>
        <w:footnoteRef/>
      </w:r>
      <w:r w:rsidRPr="00E002D2">
        <w:rPr>
          <w:rFonts w:ascii="Arial" w:hAnsi="Arial" w:cs="Arial"/>
        </w:rPr>
        <w:t xml:space="preserve"> </w:t>
      </w:r>
      <w:proofErr w:type="gramStart"/>
      <w:smartTag w:uri="urn:schemas-microsoft-com:office:smarttags" w:element="place">
        <w:r w:rsidRPr="00E002D2">
          <w:rPr>
            <w:rFonts w:ascii="Arial" w:hAnsi="Arial" w:cs="Arial"/>
          </w:rPr>
          <w:t>Para</w:t>
        </w:r>
      </w:smartTag>
      <w:r w:rsidRPr="00E002D2">
        <w:rPr>
          <w:rFonts w:ascii="Arial" w:hAnsi="Arial" w:cs="Arial"/>
        </w:rPr>
        <w:t xml:space="preserve"> 24.</w:t>
      </w:r>
      <w:proofErr w:type="gramEnd"/>
      <w:r w:rsidRPr="00E002D2">
        <w:rPr>
          <w:rFonts w:ascii="Arial" w:hAnsi="Arial" w:cs="Arial"/>
        </w:rPr>
        <w:t xml:space="preserve"> See also </w:t>
      </w:r>
      <w:r w:rsidRPr="00E002D2">
        <w:rPr>
          <w:rFonts w:ascii="Arial" w:hAnsi="Arial" w:cs="Arial"/>
          <w:i/>
        </w:rPr>
        <w:t xml:space="preserve">President of the </w:t>
      </w:r>
      <w:smartTag w:uri="urn:schemas-microsoft-com:office:smarttags" w:element="PlaceType">
        <w:r w:rsidRPr="00E002D2">
          <w:rPr>
            <w:rFonts w:ascii="Arial" w:hAnsi="Arial" w:cs="Arial"/>
            <w:i/>
          </w:rPr>
          <w:t>Republic</w:t>
        </w:r>
      </w:smartTag>
      <w:r w:rsidRPr="00E002D2">
        <w:rPr>
          <w:rFonts w:ascii="Arial" w:hAnsi="Arial" w:cs="Arial"/>
          <w:i/>
        </w:rPr>
        <w:t xml:space="preserve"> of </w:t>
      </w:r>
      <w:smartTag w:uri="urn:schemas-microsoft-com:office:smarttags" w:element="PlaceName">
        <w:r w:rsidRPr="00E002D2">
          <w:rPr>
            <w:rFonts w:ascii="Arial" w:hAnsi="Arial" w:cs="Arial"/>
            <w:i/>
          </w:rPr>
          <w:t>South Africa</w:t>
        </w:r>
      </w:smartTag>
      <w:r w:rsidRPr="00E002D2">
        <w:rPr>
          <w:rFonts w:ascii="Arial" w:hAnsi="Arial" w:cs="Arial"/>
          <w:i/>
        </w:rPr>
        <w:t xml:space="preserve"> v South African </w:t>
      </w:r>
      <w:smartTag w:uri="urn:schemas-microsoft-com:office:smarttags" w:element="place">
        <w:r w:rsidRPr="00E002D2">
          <w:rPr>
            <w:rFonts w:ascii="Arial" w:hAnsi="Arial" w:cs="Arial"/>
            <w:i/>
          </w:rPr>
          <w:t>Rugby</w:t>
        </w:r>
      </w:smartTag>
      <w:r w:rsidRPr="00E002D2">
        <w:rPr>
          <w:rFonts w:ascii="Arial" w:hAnsi="Arial" w:cs="Arial"/>
          <w:i/>
        </w:rPr>
        <w:t xml:space="preserve"> Football Union</w:t>
      </w:r>
      <w:r w:rsidRPr="00E002D2">
        <w:rPr>
          <w:rFonts w:ascii="Arial" w:hAnsi="Arial" w:cs="Arial"/>
        </w:rPr>
        <w:t xml:space="preserve"> 2000 (2) SA 1 (CC) para 141.</w:t>
      </w:r>
      <w:r w:rsidRPr="00E002D2">
        <w:rPr>
          <w:rFonts w:ascii="Arial" w:hAnsi="Arial" w:cs="Arial"/>
          <w:i/>
        </w:rPr>
        <w:t xml:space="preserve"> </w:t>
      </w:r>
    </w:p>
  </w:footnote>
  <w:footnote w:id="15">
    <w:p w:rsidR="00D87665" w:rsidRPr="00E002D2" w:rsidRDefault="00D87665" w:rsidP="00C233F7">
      <w:pPr>
        <w:pStyle w:val="FootnoteText"/>
        <w:rPr>
          <w:rFonts w:ascii="Arial" w:hAnsi="Arial" w:cs="Arial"/>
        </w:rPr>
      </w:pPr>
      <w:r w:rsidRPr="00E002D2">
        <w:rPr>
          <w:rStyle w:val="FootnoteReference"/>
          <w:rFonts w:ascii="Arial" w:hAnsi="Arial" w:cs="Arial"/>
        </w:rPr>
        <w:footnoteRef/>
      </w:r>
      <w:r w:rsidRPr="00E002D2">
        <w:rPr>
          <w:rFonts w:ascii="Arial" w:hAnsi="Arial" w:cs="Arial"/>
        </w:rPr>
        <w:t xml:space="preserve"> C Hoexter </w:t>
      </w:r>
      <w:r w:rsidRPr="00E002D2">
        <w:rPr>
          <w:rFonts w:ascii="Arial" w:hAnsi="Arial" w:cs="Arial"/>
          <w:i/>
        </w:rPr>
        <w:t xml:space="preserve">Administrative Law in South Africa </w:t>
      </w:r>
      <w:r w:rsidRPr="00E002D2">
        <w:rPr>
          <w:rFonts w:ascii="Arial" w:hAnsi="Arial" w:cs="Arial"/>
        </w:rPr>
        <w:t xml:space="preserve">2 </w:t>
      </w:r>
      <w:proofErr w:type="gramStart"/>
      <w:r w:rsidRPr="00E002D2">
        <w:rPr>
          <w:rFonts w:ascii="Arial" w:hAnsi="Arial" w:cs="Arial"/>
        </w:rPr>
        <w:t>ed</w:t>
      </w:r>
      <w:proofErr w:type="gramEnd"/>
      <w:r w:rsidRPr="00E002D2">
        <w:rPr>
          <w:rFonts w:ascii="Arial" w:hAnsi="Arial" w:cs="Arial"/>
        </w:rPr>
        <w:t xml:space="preserve"> </w:t>
      </w:r>
      <w:r>
        <w:rPr>
          <w:rFonts w:ascii="Arial" w:hAnsi="Arial" w:cs="Arial"/>
        </w:rPr>
        <w:t>(</w:t>
      </w:r>
      <w:r w:rsidRPr="00E002D2">
        <w:rPr>
          <w:rFonts w:ascii="Arial" w:hAnsi="Arial" w:cs="Arial"/>
        </w:rPr>
        <w:t>2012) pp 46-48.</w:t>
      </w:r>
    </w:p>
  </w:footnote>
  <w:footnote w:id="16">
    <w:p w:rsidR="00D87665" w:rsidRPr="00E002D2" w:rsidRDefault="00D87665" w:rsidP="00C233F7">
      <w:pPr>
        <w:pStyle w:val="FootnoteText"/>
        <w:rPr>
          <w:rFonts w:ascii="Arial" w:hAnsi="Arial" w:cs="Arial"/>
        </w:rPr>
      </w:pPr>
      <w:r w:rsidRPr="00E002D2">
        <w:rPr>
          <w:rStyle w:val="FootnoteReference"/>
          <w:rFonts w:ascii="Arial" w:hAnsi="Arial" w:cs="Arial"/>
        </w:rPr>
        <w:footnoteRef/>
      </w:r>
      <w:r w:rsidRPr="00E002D2">
        <w:rPr>
          <w:rFonts w:ascii="Arial" w:hAnsi="Arial" w:cs="Arial"/>
        </w:rPr>
        <w:t xml:space="preserve"> </w:t>
      </w:r>
      <w:r w:rsidRPr="00E002D2">
        <w:rPr>
          <w:rFonts w:ascii="Arial" w:hAnsi="Arial" w:cs="Arial"/>
          <w:i/>
        </w:rPr>
        <w:t xml:space="preserve">The </w:t>
      </w:r>
      <w:smartTag w:uri="urn:schemas-microsoft-com:office:smarttags" w:element="place">
        <w:smartTag w:uri="urn:schemas-microsoft-com:office:smarttags" w:element="PlaceType">
          <w:r w:rsidRPr="00E002D2">
            <w:rPr>
              <w:rFonts w:ascii="Arial" w:hAnsi="Arial" w:cs="Arial"/>
              <w:i/>
            </w:rPr>
            <w:t>Cape</w:t>
          </w:r>
        </w:smartTag>
        <w:r w:rsidRPr="00E002D2">
          <w:rPr>
            <w:rFonts w:ascii="Arial" w:hAnsi="Arial" w:cs="Arial"/>
            <w:i/>
          </w:rPr>
          <w:t xml:space="preserve"> of </w:t>
        </w:r>
        <w:smartTag w:uri="urn:schemas-microsoft-com:office:smarttags" w:element="PlaceName">
          <w:r w:rsidRPr="00E002D2">
            <w:rPr>
              <w:rFonts w:ascii="Arial" w:hAnsi="Arial" w:cs="Arial"/>
              <w:i/>
            </w:rPr>
            <w:t>Good Hope Bank</w:t>
          </w:r>
        </w:smartTag>
      </w:smartTag>
      <w:r w:rsidRPr="00E002D2">
        <w:rPr>
          <w:rFonts w:ascii="Arial" w:hAnsi="Arial" w:cs="Arial"/>
          <w:i/>
        </w:rPr>
        <w:t xml:space="preserve"> v Fischer</w:t>
      </w:r>
      <w:r>
        <w:rPr>
          <w:rFonts w:ascii="Arial" w:hAnsi="Arial" w:cs="Arial"/>
        </w:rPr>
        <w:t xml:space="preserve"> (1885-1886) 4 SC 368 at </w:t>
      </w:r>
      <w:r w:rsidRPr="00E002D2">
        <w:rPr>
          <w:rFonts w:ascii="Arial" w:hAnsi="Arial" w:cs="Arial"/>
        </w:rPr>
        <w:t>375.</w:t>
      </w:r>
    </w:p>
  </w:footnote>
  <w:footnote w:id="17">
    <w:p w:rsidR="00D87665" w:rsidRPr="00E002D2" w:rsidRDefault="00D87665" w:rsidP="00C233F7">
      <w:pPr>
        <w:pStyle w:val="FootnoteText"/>
        <w:rPr>
          <w:rFonts w:ascii="Arial" w:hAnsi="Arial" w:cs="Arial"/>
        </w:rPr>
      </w:pPr>
      <w:r w:rsidRPr="00E002D2">
        <w:rPr>
          <w:rStyle w:val="FootnoteReference"/>
          <w:rFonts w:ascii="Arial" w:hAnsi="Arial" w:cs="Arial"/>
        </w:rPr>
        <w:footnoteRef/>
      </w:r>
      <w:r w:rsidRPr="00E002D2">
        <w:rPr>
          <w:rFonts w:ascii="Arial" w:hAnsi="Arial" w:cs="Arial"/>
        </w:rPr>
        <w:t xml:space="preserve"> </w:t>
      </w:r>
      <w:proofErr w:type="gramStart"/>
      <w:r w:rsidRPr="00E002D2">
        <w:rPr>
          <w:rFonts w:ascii="Arial" w:hAnsi="Arial" w:cs="Arial"/>
        </w:rPr>
        <w:t>At 375.</w:t>
      </w:r>
      <w:proofErr w:type="gramEnd"/>
      <w:r w:rsidRPr="00E002D2">
        <w:rPr>
          <w:rFonts w:ascii="Arial" w:hAnsi="Arial" w:cs="Arial"/>
        </w:rPr>
        <w:t xml:space="preserve"> See also </w:t>
      </w:r>
      <w:r w:rsidRPr="00E002D2">
        <w:rPr>
          <w:rFonts w:ascii="Arial" w:hAnsi="Arial" w:cs="Arial"/>
          <w:i/>
        </w:rPr>
        <w:t>Boltman v Kotze Community Trust concerning Farm Quisberg 805 District of Calvinia</w:t>
      </w:r>
      <w:r w:rsidRPr="00E002D2">
        <w:rPr>
          <w:rFonts w:ascii="Arial" w:hAnsi="Arial" w:cs="Arial"/>
        </w:rPr>
        <w:t xml:space="preserve"> [1999] JOL 5230 (LCC) para 29.</w:t>
      </w:r>
    </w:p>
  </w:footnote>
  <w:footnote w:id="18">
    <w:p w:rsidR="00D87665" w:rsidRPr="00E002D2" w:rsidRDefault="00D87665" w:rsidP="00C233F7">
      <w:pPr>
        <w:pStyle w:val="FootnoteText"/>
        <w:rPr>
          <w:rFonts w:ascii="Arial" w:hAnsi="Arial" w:cs="Arial"/>
        </w:rPr>
      </w:pPr>
      <w:r w:rsidRPr="00E002D2">
        <w:rPr>
          <w:rStyle w:val="FootnoteReference"/>
          <w:rFonts w:ascii="Arial" w:hAnsi="Arial" w:cs="Arial"/>
        </w:rPr>
        <w:footnoteRef/>
      </w:r>
      <w:r w:rsidRPr="00E002D2">
        <w:rPr>
          <w:rFonts w:ascii="Arial" w:hAnsi="Arial" w:cs="Arial"/>
        </w:rPr>
        <w:t xml:space="preserve"> See </w:t>
      </w:r>
      <w:r w:rsidRPr="00E002D2">
        <w:rPr>
          <w:rFonts w:ascii="Arial" w:hAnsi="Arial" w:cs="Arial"/>
          <w:i/>
        </w:rPr>
        <w:t xml:space="preserve">Oribel Properties 13 (Pty) Ltd v Blue Dot Properties 271 (Pty) </w:t>
      </w:r>
      <w:proofErr w:type="gramStart"/>
      <w:r w:rsidRPr="00E002D2">
        <w:rPr>
          <w:rFonts w:ascii="Arial" w:hAnsi="Arial" w:cs="Arial"/>
          <w:i/>
        </w:rPr>
        <w:t xml:space="preserve">Ltd </w:t>
      </w:r>
      <w:r w:rsidRPr="00E002D2">
        <w:rPr>
          <w:rFonts w:ascii="Arial" w:hAnsi="Arial" w:cs="Arial"/>
        </w:rPr>
        <w:t xml:space="preserve"> [</w:t>
      </w:r>
      <w:proofErr w:type="gramEnd"/>
      <w:r w:rsidRPr="00E002D2">
        <w:rPr>
          <w:rFonts w:ascii="Arial" w:hAnsi="Arial" w:cs="Arial"/>
        </w:rPr>
        <w:t>2009] JOL 24392: [2010]</w:t>
      </w:r>
      <w:r>
        <w:rPr>
          <w:rFonts w:ascii="Arial" w:hAnsi="Arial" w:cs="Arial"/>
        </w:rPr>
        <w:t xml:space="preserve"> 4</w:t>
      </w:r>
      <w:r w:rsidRPr="00E002D2">
        <w:rPr>
          <w:rFonts w:ascii="Arial" w:hAnsi="Arial" w:cs="Arial"/>
        </w:rPr>
        <w:t xml:space="preserve"> All SA 282 (SCA). The issue was not considered by the court on appeal.</w:t>
      </w:r>
    </w:p>
  </w:footnote>
  <w:footnote w:id="19">
    <w:p w:rsidR="00D87665" w:rsidRPr="00E002D2" w:rsidRDefault="00D87665" w:rsidP="00C233F7">
      <w:pPr>
        <w:pStyle w:val="FootnoteText"/>
        <w:rPr>
          <w:rFonts w:ascii="Arial" w:hAnsi="Arial" w:cs="Arial"/>
        </w:rPr>
      </w:pPr>
      <w:r w:rsidRPr="00E002D2">
        <w:rPr>
          <w:rStyle w:val="FootnoteReference"/>
          <w:rFonts w:ascii="Arial" w:hAnsi="Arial" w:cs="Arial"/>
        </w:rPr>
        <w:footnoteRef/>
      </w:r>
      <w:r w:rsidRPr="00E002D2">
        <w:rPr>
          <w:rFonts w:ascii="Arial" w:hAnsi="Arial" w:cs="Arial"/>
        </w:rPr>
        <w:t xml:space="preserve"> H </w:t>
      </w:r>
      <w:smartTag w:uri="urn:schemas-microsoft-com:office:smarttags" w:element="place">
        <w:r w:rsidRPr="00E002D2">
          <w:rPr>
            <w:rFonts w:ascii="Arial" w:hAnsi="Arial" w:cs="Arial"/>
          </w:rPr>
          <w:t>S Nel</w:t>
        </w:r>
      </w:smartTag>
      <w:r w:rsidRPr="00E002D2">
        <w:rPr>
          <w:rFonts w:ascii="Arial" w:hAnsi="Arial" w:cs="Arial"/>
        </w:rPr>
        <w:t xml:space="preserve"> </w:t>
      </w:r>
      <w:r w:rsidRPr="00E002D2">
        <w:rPr>
          <w:rFonts w:ascii="Arial" w:hAnsi="Arial" w:cs="Arial"/>
          <w:i/>
        </w:rPr>
        <w:t xml:space="preserve">Jones: Conveyancing in South Africa </w:t>
      </w:r>
      <w:r>
        <w:rPr>
          <w:rFonts w:ascii="Arial" w:hAnsi="Arial" w:cs="Arial"/>
        </w:rPr>
        <w:t xml:space="preserve">4 </w:t>
      </w:r>
      <w:proofErr w:type="gramStart"/>
      <w:r>
        <w:rPr>
          <w:rFonts w:ascii="Arial" w:hAnsi="Arial" w:cs="Arial"/>
        </w:rPr>
        <w:t>ed</w:t>
      </w:r>
      <w:proofErr w:type="gramEnd"/>
      <w:r>
        <w:rPr>
          <w:rFonts w:ascii="Arial" w:hAnsi="Arial" w:cs="Arial"/>
        </w:rPr>
        <w:t xml:space="preserve"> (1991) p</w:t>
      </w:r>
      <w:r w:rsidRPr="00E002D2">
        <w:rPr>
          <w:rFonts w:ascii="Arial" w:hAnsi="Arial" w:cs="Arial"/>
        </w:rPr>
        <w:t xml:space="preserve"> 13.</w:t>
      </w:r>
    </w:p>
  </w:footnote>
  <w:footnote w:id="20">
    <w:p w:rsidR="00D87665" w:rsidRPr="00775E93" w:rsidRDefault="00D87665" w:rsidP="00C233F7">
      <w:pPr>
        <w:pStyle w:val="FootnoteText"/>
        <w:rPr>
          <w:i/>
        </w:rPr>
      </w:pPr>
      <w:r w:rsidRPr="00E002D2">
        <w:rPr>
          <w:rStyle w:val="FootnoteReference"/>
          <w:rFonts w:ascii="Arial" w:hAnsi="Arial" w:cs="Arial"/>
        </w:rPr>
        <w:footnoteRef/>
      </w:r>
      <w:r w:rsidRPr="00E002D2">
        <w:rPr>
          <w:rFonts w:ascii="Arial" w:hAnsi="Arial" w:cs="Arial"/>
        </w:rPr>
        <w:t xml:space="preserve"> </w:t>
      </w:r>
      <w:proofErr w:type="gramStart"/>
      <w:r w:rsidRPr="00E002D2">
        <w:rPr>
          <w:rFonts w:ascii="Arial" w:hAnsi="Arial" w:cs="Arial"/>
        </w:rPr>
        <w:t>Ibid p 14.</w:t>
      </w:r>
      <w:proofErr w:type="gramEnd"/>
      <w:r w:rsidRPr="00E002D2">
        <w:rPr>
          <w:rFonts w:ascii="Arial" w:hAnsi="Arial" w:cs="Arial"/>
        </w:rPr>
        <w:t xml:space="preserve"> See also P J Badenhorst, Juanita M Pienaar and Hanri Mostert </w:t>
      </w:r>
      <w:r w:rsidRPr="00E002D2">
        <w:rPr>
          <w:rFonts w:ascii="Arial" w:hAnsi="Arial" w:cs="Arial"/>
          <w:i/>
        </w:rPr>
        <w:t>Silberberg and Schoeman’s The Law of Property</w:t>
      </w:r>
      <w:r w:rsidRPr="00E002D2">
        <w:rPr>
          <w:rFonts w:ascii="Arial" w:hAnsi="Arial" w:cs="Arial"/>
        </w:rPr>
        <w:t xml:space="preserve"> 5 </w:t>
      </w:r>
      <w:proofErr w:type="gramStart"/>
      <w:r w:rsidRPr="00E002D2">
        <w:rPr>
          <w:rFonts w:ascii="Arial" w:hAnsi="Arial" w:cs="Arial"/>
        </w:rPr>
        <w:t>ed</w:t>
      </w:r>
      <w:proofErr w:type="gramEnd"/>
      <w:r w:rsidRPr="00E002D2">
        <w:rPr>
          <w:rFonts w:ascii="Arial" w:hAnsi="Arial" w:cs="Arial"/>
        </w:rPr>
        <w:t xml:space="preserve"> (2006) 215-216</w:t>
      </w:r>
      <w:r w:rsidRPr="00E002D2">
        <w:rPr>
          <w:rFonts w:ascii="Arial" w:hAnsi="Arial" w:cs="Arial"/>
          <w:i/>
        </w:rPr>
        <w:t>.</w:t>
      </w:r>
    </w:p>
  </w:footnote>
  <w:footnote w:id="21">
    <w:p w:rsidR="00D87665" w:rsidRPr="00A07FE3" w:rsidRDefault="00D87665" w:rsidP="00DE5A27">
      <w:pPr>
        <w:pStyle w:val="FootnoteText"/>
      </w:pPr>
      <w:r w:rsidRPr="00DE5A27">
        <w:rPr>
          <w:rStyle w:val="FootnoteReference"/>
          <w:rFonts w:ascii="Arial" w:hAnsi="Arial" w:cs="Arial"/>
        </w:rPr>
        <w:footnoteRef/>
      </w:r>
      <w:r w:rsidRPr="00DE5A27">
        <w:rPr>
          <w:rFonts w:ascii="Arial" w:hAnsi="Arial" w:cs="Arial"/>
        </w:rPr>
        <w:t xml:space="preserve"> Section 95 of the Administration of Estates Act provides for the ‘review’ of, or appeal against, any appointment or decision made by the Master. The signa</w:t>
      </w:r>
      <w:r>
        <w:rPr>
          <w:rFonts w:ascii="Arial" w:hAnsi="Arial" w:cs="Arial"/>
        </w:rPr>
        <w:t>ture of the certificate by the M</w:t>
      </w:r>
      <w:r w:rsidRPr="00DE5A27">
        <w:rPr>
          <w:rFonts w:ascii="Arial" w:hAnsi="Arial" w:cs="Arial"/>
        </w:rPr>
        <w:t xml:space="preserve">aster was thus reviewable under this Act, and the ground for review would have been the fraud of </w:t>
      </w:r>
      <w:r>
        <w:rPr>
          <w:rFonts w:ascii="Arial" w:hAnsi="Arial" w:cs="Arial"/>
        </w:rPr>
        <w:t>Riccardo</w:t>
      </w:r>
      <w:r w:rsidRPr="00DE5A27">
        <w:rPr>
          <w:rFonts w:ascii="Arial" w:hAnsi="Arial" w:cs="Arial"/>
        </w:rPr>
        <w:t>. But that does not make the signature ‘administrative action’ in terms of the PAJA.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665" w:rsidRDefault="00D87665" w:rsidP="00DA181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87665" w:rsidRDefault="00D87665" w:rsidP="00635112">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665" w:rsidRDefault="00D87665" w:rsidP="00DA181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B6BF1">
      <w:rPr>
        <w:rStyle w:val="PageNumber"/>
        <w:noProof/>
      </w:rPr>
      <w:t>5</w:t>
    </w:r>
    <w:r>
      <w:rPr>
        <w:rStyle w:val="PageNumber"/>
      </w:rPr>
      <w:fldChar w:fldCharType="end"/>
    </w:r>
  </w:p>
  <w:p w:rsidR="00D87665" w:rsidRDefault="00D87665" w:rsidP="00635112">
    <w:pPr>
      <w:pStyle w:val="Header"/>
      <w:ind w:right="360"/>
      <w:jc w:val="center"/>
    </w:pPr>
  </w:p>
  <w:p w:rsidR="00D87665" w:rsidRDefault="00D8766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gnword-docGUID" w:val="{0E5A6C95-68BB-4ABB-9303-A61EE733FD37}"/>
    <w:docVar w:name="dgnword-eventsink" w:val="78372432"/>
  </w:docVars>
  <w:rsids>
    <w:rsidRoot w:val="000C5269"/>
    <w:rsid w:val="000038B4"/>
    <w:rsid w:val="000107C2"/>
    <w:rsid w:val="00015358"/>
    <w:rsid w:val="00031B55"/>
    <w:rsid w:val="000436F2"/>
    <w:rsid w:val="0004494F"/>
    <w:rsid w:val="00055104"/>
    <w:rsid w:val="000575EC"/>
    <w:rsid w:val="000648DA"/>
    <w:rsid w:val="0008792E"/>
    <w:rsid w:val="000B0244"/>
    <w:rsid w:val="000B64F1"/>
    <w:rsid w:val="000C5269"/>
    <w:rsid w:val="000E272C"/>
    <w:rsid w:val="000E6422"/>
    <w:rsid w:val="000F257F"/>
    <w:rsid w:val="0011081A"/>
    <w:rsid w:val="00116E0F"/>
    <w:rsid w:val="00143B52"/>
    <w:rsid w:val="00156087"/>
    <w:rsid w:val="00161C79"/>
    <w:rsid w:val="00163592"/>
    <w:rsid w:val="00194D6F"/>
    <w:rsid w:val="00195A5C"/>
    <w:rsid w:val="001A2347"/>
    <w:rsid w:val="001A7A27"/>
    <w:rsid w:val="001A7CCC"/>
    <w:rsid w:val="001B3DFD"/>
    <w:rsid w:val="001B599D"/>
    <w:rsid w:val="001E4FBD"/>
    <w:rsid w:val="001E559C"/>
    <w:rsid w:val="001F330B"/>
    <w:rsid w:val="001F714D"/>
    <w:rsid w:val="00216C93"/>
    <w:rsid w:val="00217D80"/>
    <w:rsid w:val="00220648"/>
    <w:rsid w:val="00234A35"/>
    <w:rsid w:val="00234C87"/>
    <w:rsid w:val="00245513"/>
    <w:rsid w:val="00260CB7"/>
    <w:rsid w:val="00276941"/>
    <w:rsid w:val="002817AD"/>
    <w:rsid w:val="002A64CE"/>
    <w:rsid w:val="002A7D4D"/>
    <w:rsid w:val="002C2D88"/>
    <w:rsid w:val="002D7CDD"/>
    <w:rsid w:val="002E19D3"/>
    <w:rsid w:val="002F2110"/>
    <w:rsid w:val="002F5441"/>
    <w:rsid w:val="00305D49"/>
    <w:rsid w:val="003119F5"/>
    <w:rsid w:val="00323960"/>
    <w:rsid w:val="00337443"/>
    <w:rsid w:val="00340882"/>
    <w:rsid w:val="003441E2"/>
    <w:rsid w:val="003457BA"/>
    <w:rsid w:val="003560A9"/>
    <w:rsid w:val="00363452"/>
    <w:rsid w:val="003705AD"/>
    <w:rsid w:val="003770BF"/>
    <w:rsid w:val="0038063E"/>
    <w:rsid w:val="003835D5"/>
    <w:rsid w:val="003B0F81"/>
    <w:rsid w:val="003C1BE4"/>
    <w:rsid w:val="003C4449"/>
    <w:rsid w:val="003F1A08"/>
    <w:rsid w:val="003F7CEB"/>
    <w:rsid w:val="004150A2"/>
    <w:rsid w:val="00435F83"/>
    <w:rsid w:val="00450304"/>
    <w:rsid w:val="004628B7"/>
    <w:rsid w:val="004839F4"/>
    <w:rsid w:val="004A6B68"/>
    <w:rsid w:val="004B6BF1"/>
    <w:rsid w:val="004C21F7"/>
    <w:rsid w:val="004D6FCB"/>
    <w:rsid w:val="004E70EF"/>
    <w:rsid w:val="005061BA"/>
    <w:rsid w:val="00506D9A"/>
    <w:rsid w:val="0051531B"/>
    <w:rsid w:val="0052324E"/>
    <w:rsid w:val="00526EFD"/>
    <w:rsid w:val="0054730E"/>
    <w:rsid w:val="005534BB"/>
    <w:rsid w:val="00563486"/>
    <w:rsid w:val="00563DBB"/>
    <w:rsid w:val="005700B2"/>
    <w:rsid w:val="00570837"/>
    <w:rsid w:val="00575E21"/>
    <w:rsid w:val="00576F9D"/>
    <w:rsid w:val="005779D1"/>
    <w:rsid w:val="00580DC0"/>
    <w:rsid w:val="00582438"/>
    <w:rsid w:val="005909E3"/>
    <w:rsid w:val="005949DC"/>
    <w:rsid w:val="005950F5"/>
    <w:rsid w:val="005962FD"/>
    <w:rsid w:val="005A2544"/>
    <w:rsid w:val="005A431A"/>
    <w:rsid w:val="005D229C"/>
    <w:rsid w:val="005F2159"/>
    <w:rsid w:val="00607518"/>
    <w:rsid w:val="006162B3"/>
    <w:rsid w:val="006322EC"/>
    <w:rsid w:val="00633EE8"/>
    <w:rsid w:val="00635112"/>
    <w:rsid w:val="006477C1"/>
    <w:rsid w:val="0065206C"/>
    <w:rsid w:val="00657049"/>
    <w:rsid w:val="0067717E"/>
    <w:rsid w:val="00677387"/>
    <w:rsid w:val="00691584"/>
    <w:rsid w:val="006B2D55"/>
    <w:rsid w:val="006C72A9"/>
    <w:rsid w:val="006E5040"/>
    <w:rsid w:val="006E73F8"/>
    <w:rsid w:val="006F58A6"/>
    <w:rsid w:val="006F7A6A"/>
    <w:rsid w:val="00710339"/>
    <w:rsid w:val="00717284"/>
    <w:rsid w:val="00727F65"/>
    <w:rsid w:val="0074046F"/>
    <w:rsid w:val="00741FBB"/>
    <w:rsid w:val="0074645B"/>
    <w:rsid w:val="00746A8B"/>
    <w:rsid w:val="00761A31"/>
    <w:rsid w:val="007620BA"/>
    <w:rsid w:val="007724A9"/>
    <w:rsid w:val="007A0829"/>
    <w:rsid w:val="007A2B7C"/>
    <w:rsid w:val="007B6DB1"/>
    <w:rsid w:val="007C505D"/>
    <w:rsid w:val="007D73A1"/>
    <w:rsid w:val="00807305"/>
    <w:rsid w:val="0081100A"/>
    <w:rsid w:val="008134A3"/>
    <w:rsid w:val="00833A04"/>
    <w:rsid w:val="00834658"/>
    <w:rsid w:val="00843EA1"/>
    <w:rsid w:val="0085367A"/>
    <w:rsid w:val="008720B8"/>
    <w:rsid w:val="00876D85"/>
    <w:rsid w:val="0088090B"/>
    <w:rsid w:val="00880C2D"/>
    <w:rsid w:val="00881797"/>
    <w:rsid w:val="00892F3C"/>
    <w:rsid w:val="008D6BF6"/>
    <w:rsid w:val="008E1DA0"/>
    <w:rsid w:val="008F4C04"/>
    <w:rsid w:val="0090073A"/>
    <w:rsid w:val="009059AE"/>
    <w:rsid w:val="00907BB6"/>
    <w:rsid w:val="00913663"/>
    <w:rsid w:val="009160F5"/>
    <w:rsid w:val="00916B35"/>
    <w:rsid w:val="00940223"/>
    <w:rsid w:val="00941954"/>
    <w:rsid w:val="00946053"/>
    <w:rsid w:val="00992A02"/>
    <w:rsid w:val="009A54FC"/>
    <w:rsid w:val="009A7EFA"/>
    <w:rsid w:val="009B3AF8"/>
    <w:rsid w:val="009D65A3"/>
    <w:rsid w:val="009E174D"/>
    <w:rsid w:val="009E26C8"/>
    <w:rsid w:val="009F53F6"/>
    <w:rsid w:val="00A07FE3"/>
    <w:rsid w:val="00A23A07"/>
    <w:rsid w:val="00A35482"/>
    <w:rsid w:val="00A4497C"/>
    <w:rsid w:val="00A528A1"/>
    <w:rsid w:val="00A53630"/>
    <w:rsid w:val="00A60CAF"/>
    <w:rsid w:val="00A72993"/>
    <w:rsid w:val="00AB0F9A"/>
    <w:rsid w:val="00AC1264"/>
    <w:rsid w:val="00AD580A"/>
    <w:rsid w:val="00AE0EA8"/>
    <w:rsid w:val="00AE26E2"/>
    <w:rsid w:val="00AF3172"/>
    <w:rsid w:val="00B0074E"/>
    <w:rsid w:val="00B01170"/>
    <w:rsid w:val="00B01378"/>
    <w:rsid w:val="00B05261"/>
    <w:rsid w:val="00B11D4C"/>
    <w:rsid w:val="00B17509"/>
    <w:rsid w:val="00B25477"/>
    <w:rsid w:val="00B30847"/>
    <w:rsid w:val="00B65007"/>
    <w:rsid w:val="00B85F18"/>
    <w:rsid w:val="00B93FAC"/>
    <w:rsid w:val="00B964D0"/>
    <w:rsid w:val="00B96BB8"/>
    <w:rsid w:val="00BA4C94"/>
    <w:rsid w:val="00BB118D"/>
    <w:rsid w:val="00BB16C2"/>
    <w:rsid w:val="00BC003E"/>
    <w:rsid w:val="00BC0722"/>
    <w:rsid w:val="00BC38FB"/>
    <w:rsid w:val="00BC5C5D"/>
    <w:rsid w:val="00BC5ED3"/>
    <w:rsid w:val="00BD56D3"/>
    <w:rsid w:val="00BD5FEE"/>
    <w:rsid w:val="00BE7B59"/>
    <w:rsid w:val="00BF4B35"/>
    <w:rsid w:val="00C0334B"/>
    <w:rsid w:val="00C122FA"/>
    <w:rsid w:val="00C223E3"/>
    <w:rsid w:val="00C233F7"/>
    <w:rsid w:val="00C41B35"/>
    <w:rsid w:val="00C44419"/>
    <w:rsid w:val="00C504CA"/>
    <w:rsid w:val="00C50A04"/>
    <w:rsid w:val="00C569BA"/>
    <w:rsid w:val="00C62888"/>
    <w:rsid w:val="00C76CDE"/>
    <w:rsid w:val="00C8580F"/>
    <w:rsid w:val="00C921E3"/>
    <w:rsid w:val="00C950F4"/>
    <w:rsid w:val="00CB174F"/>
    <w:rsid w:val="00CC2D6D"/>
    <w:rsid w:val="00CC5673"/>
    <w:rsid w:val="00CD51DD"/>
    <w:rsid w:val="00CF325F"/>
    <w:rsid w:val="00CF60CC"/>
    <w:rsid w:val="00D26E3E"/>
    <w:rsid w:val="00D36AB4"/>
    <w:rsid w:val="00D4530F"/>
    <w:rsid w:val="00D5675B"/>
    <w:rsid w:val="00D62DF5"/>
    <w:rsid w:val="00D657E0"/>
    <w:rsid w:val="00D7031C"/>
    <w:rsid w:val="00D83EF2"/>
    <w:rsid w:val="00D859E6"/>
    <w:rsid w:val="00D87665"/>
    <w:rsid w:val="00D93172"/>
    <w:rsid w:val="00DA1818"/>
    <w:rsid w:val="00DA4C90"/>
    <w:rsid w:val="00DB6D56"/>
    <w:rsid w:val="00DD766A"/>
    <w:rsid w:val="00DE252A"/>
    <w:rsid w:val="00DE39D7"/>
    <w:rsid w:val="00DE5A27"/>
    <w:rsid w:val="00E002D2"/>
    <w:rsid w:val="00E16A2A"/>
    <w:rsid w:val="00E24D54"/>
    <w:rsid w:val="00E30C05"/>
    <w:rsid w:val="00E34AFB"/>
    <w:rsid w:val="00E36FF8"/>
    <w:rsid w:val="00E41F02"/>
    <w:rsid w:val="00E55E2C"/>
    <w:rsid w:val="00E66834"/>
    <w:rsid w:val="00E92D2F"/>
    <w:rsid w:val="00E96F7D"/>
    <w:rsid w:val="00EB67EF"/>
    <w:rsid w:val="00EC5907"/>
    <w:rsid w:val="00EC65A5"/>
    <w:rsid w:val="00EE0E9B"/>
    <w:rsid w:val="00EE4FFC"/>
    <w:rsid w:val="00EF0535"/>
    <w:rsid w:val="00EF74C0"/>
    <w:rsid w:val="00F03DC9"/>
    <w:rsid w:val="00F04A49"/>
    <w:rsid w:val="00F10791"/>
    <w:rsid w:val="00F2039D"/>
    <w:rsid w:val="00F4234C"/>
    <w:rsid w:val="00F43E40"/>
    <w:rsid w:val="00F4698D"/>
    <w:rsid w:val="00F60857"/>
    <w:rsid w:val="00F67D9F"/>
    <w:rsid w:val="00F77F6A"/>
    <w:rsid w:val="00F8035C"/>
    <w:rsid w:val="00FC3DFB"/>
    <w:rsid w:val="00FC6E50"/>
    <w:rsid w:val="00FC7D86"/>
    <w:rsid w:val="00FD05FC"/>
    <w:rsid w:val="00FE058F"/>
    <w:rsid w:val="00FE43D7"/>
    <w:rsid w:val="00FF5B23"/>
  </w:rsids>
  <m:mathPr>
    <m:mathFont m:val="Cambria Math"/>
    <m:brkBin m:val="before"/>
    <m:brkBinSub m:val="--"/>
    <m:smallFrac m:val="off"/>
    <m:dispDef/>
    <m:lMargin m:val="0"/>
    <m:rMargin m:val="0"/>
    <m:defJc m:val="centerGroup"/>
    <m:wrapIndent m:val="1440"/>
    <m:intLim m:val="subSup"/>
    <m:naryLim m:val="undOvr"/>
  </m:mathPr>
  <w:uiCompat97To2003/>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address"/>
  <w:smartTagType w:namespaceuri="urn:schemas-microsoft-com:office:smarttags" w:name="City"/>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ZA" w:eastAsia="en-Z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3F6"/>
    <w:pPr>
      <w:spacing w:after="200" w:line="276"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992A02"/>
    <w:pPr>
      <w:spacing w:after="0" w:line="240" w:lineRule="auto"/>
    </w:pPr>
    <w:rPr>
      <w:sz w:val="20"/>
      <w:szCs w:val="20"/>
    </w:rPr>
  </w:style>
  <w:style w:type="character" w:customStyle="1" w:styleId="FootnoteTextChar">
    <w:name w:val="Footnote Text Char"/>
    <w:link w:val="FootnoteText"/>
    <w:uiPriority w:val="99"/>
    <w:semiHidden/>
    <w:locked/>
    <w:rsid w:val="00992A02"/>
    <w:rPr>
      <w:rFonts w:cs="Times New Roman"/>
      <w:sz w:val="20"/>
      <w:szCs w:val="20"/>
    </w:rPr>
  </w:style>
  <w:style w:type="character" w:styleId="FootnoteReference">
    <w:name w:val="footnote reference"/>
    <w:uiPriority w:val="99"/>
    <w:semiHidden/>
    <w:rsid w:val="00992A02"/>
    <w:rPr>
      <w:rFonts w:cs="Times New Roman"/>
      <w:vertAlign w:val="superscript"/>
    </w:rPr>
  </w:style>
  <w:style w:type="paragraph" w:styleId="Header">
    <w:name w:val="header"/>
    <w:basedOn w:val="Normal"/>
    <w:link w:val="HeaderChar"/>
    <w:uiPriority w:val="99"/>
    <w:rsid w:val="00015358"/>
    <w:pPr>
      <w:tabs>
        <w:tab w:val="center" w:pos="4513"/>
        <w:tab w:val="right" w:pos="9026"/>
      </w:tabs>
      <w:spacing w:after="0" w:line="240" w:lineRule="auto"/>
    </w:pPr>
  </w:style>
  <w:style w:type="character" w:customStyle="1" w:styleId="HeaderChar">
    <w:name w:val="Header Char"/>
    <w:link w:val="Header"/>
    <w:uiPriority w:val="99"/>
    <w:locked/>
    <w:rsid w:val="00015358"/>
    <w:rPr>
      <w:rFonts w:cs="Times New Roman"/>
    </w:rPr>
  </w:style>
  <w:style w:type="paragraph" w:styleId="Footer">
    <w:name w:val="footer"/>
    <w:basedOn w:val="Normal"/>
    <w:link w:val="FooterChar"/>
    <w:uiPriority w:val="99"/>
    <w:rsid w:val="00015358"/>
    <w:pPr>
      <w:tabs>
        <w:tab w:val="center" w:pos="4513"/>
        <w:tab w:val="right" w:pos="9026"/>
      </w:tabs>
      <w:spacing w:after="0" w:line="240" w:lineRule="auto"/>
    </w:pPr>
  </w:style>
  <w:style w:type="character" w:customStyle="1" w:styleId="FooterChar">
    <w:name w:val="Footer Char"/>
    <w:link w:val="Footer"/>
    <w:uiPriority w:val="99"/>
    <w:locked/>
    <w:rsid w:val="00015358"/>
    <w:rPr>
      <w:rFonts w:cs="Times New Roman"/>
    </w:rPr>
  </w:style>
  <w:style w:type="paragraph" w:customStyle="1" w:styleId="Pa3">
    <w:name w:val="Pa3"/>
    <w:basedOn w:val="Normal"/>
    <w:next w:val="Normal"/>
    <w:uiPriority w:val="99"/>
    <w:rsid w:val="00635112"/>
    <w:pPr>
      <w:autoSpaceDE w:val="0"/>
      <w:autoSpaceDN w:val="0"/>
      <w:adjustRightInd w:val="0"/>
      <w:spacing w:after="0" w:line="241" w:lineRule="atLeast"/>
    </w:pPr>
    <w:rPr>
      <w:rFonts w:ascii="Arial" w:hAnsi="Arial"/>
      <w:sz w:val="24"/>
      <w:szCs w:val="24"/>
      <w:lang w:val="en-US"/>
    </w:rPr>
  </w:style>
  <w:style w:type="character" w:customStyle="1" w:styleId="A0">
    <w:name w:val="A0"/>
    <w:uiPriority w:val="99"/>
    <w:rsid w:val="00635112"/>
    <w:rPr>
      <w:b/>
      <w:color w:val="221E1F"/>
      <w:sz w:val="20"/>
    </w:rPr>
  </w:style>
  <w:style w:type="character" w:styleId="PageNumber">
    <w:name w:val="page number"/>
    <w:uiPriority w:val="99"/>
    <w:rsid w:val="00635112"/>
    <w:rPr>
      <w:rFonts w:cs="Times New Roman"/>
    </w:rPr>
  </w:style>
  <w:style w:type="paragraph" w:styleId="BalloonText">
    <w:name w:val="Balloon Text"/>
    <w:basedOn w:val="Normal"/>
    <w:link w:val="BalloonTextChar"/>
    <w:uiPriority w:val="99"/>
    <w:semiHidden/>
    <w:rsid w:val="00EC65A5"/>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EC65A5"/>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3723</Words>
  <Characters>18019</Characters>
  <Application>Microsoft Office Word</Application>
  <DocSecurity>0</DocSecurity>
  <Lines>150</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Clive</dc:creator>
  <cp:keywords/>
  <cp:lastModifiedBy>Korbitec</cp:lastModifiedBy>
  <cp:revision>2</cp:revision>
  <cp:lastPrinted>2013-09-04T10:40:00Z</cp:lastPrinted>
  <dcterms:created xsi:type="dcterms:W3CDTF">2013-09-09T12:37:00Z</dcterms:created>
  <dcterms:modified xsi:type="dcterms:W3CDTF">2013-09-09T12:37:00Z</dcterms:modified>
</cp:coreProperties>
</file>