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F2" w:rsidRPr="00A6299F" w:rsidRDefault="00D52CF2" w:rsidP="00D52CF2">
      <w:pPr>
        <w:jc w:val="both"/>
        <w:rPr>
          <w:rFonts w:ascii="Arial" w:hAnsi="Arial" w:cs="Arial"/>
          <w:b/>
        </w:rPr>
      </w:pPr>
      <w:r w:rsidRPr="00A6299F">
        <w:rPr>
          <w:rFonts w:ascii="Arial" w:hAnsi="Arial" w:cs="Arial"/>
          <w:b/>
        </w:rPr>
        <w:t>Cancelling a sale can be risky business</w:t>
      </w: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  <w:r w:rsidRPr="00A6299F">
        <w:rPr>
          <w:rFonts w:ascii="Arial" w:hAnsi="Arial" w:cs="Arial"/>
        </w:rPr>
        <w:t>“Payment of tax is what the law prescribes, and tax laws are</w:t>
      </w:r>
      <w:r>
        <w:rPr>
          <w:rFonts w:ascii="Arial" w:hAnsi="Arial" w:cs="Arial"/>
        </w:rPr>
        <w:t xml:space="preserve"> not always regarded as ‘fair’.  </w:t>
      </w:r>
      <w:r w:rsidRPr="00A6299F">
        <w:rPr>
          <w:rFonts w:ascii="Arial" w:hAnsi="Arial" w:cs="Arial"/>
        </w:rPr>
        <w:t>The tax statute must be applied even if in certain circumstances a taxpayer may feel aggrieved at the outcome.”</w:t>
      </w:r>
      <w:r>
        <w:rPr>
          <w:rFonts w:ascii="Arial" w:hAnsi="Arial" w:cs="Arial"/>
        </w:rPr>
        <w:t xml:space="preserve">  </w:t>
      </w:r>
      <w:r w:rsidRPr="00A6299F">
        <w:rPr>
          <w:rFonts w:ascii="Arial" w:hAnsi="Arial" w:cs="Arial"/>
        </w:rPr>
        <w:t xml:space="preserve">These were the words of the Supreme Court of Appeal (SCA) in the recent judgment </w:t>
      </w:r>
      <w:r w:rsidRPr="00A6299F">
        <w:rPr>
          <w:rFonts w:ascii="Arial" w:hAnsi="Arial" w:cs="Arial"/>
          <w:i/>
        </w:rPr>
        <w:t>New Adventure Shelf 122 (Pty) Ltd v Commissioner of SARS</w:t>
      </w:r>
      <w:r w:rsidRPr="00A629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A6299F">
        <w:rPr>
          <w:rFonts w:ascii="Arial" w:hAnsi="Arial" w:cs="Arial"/>
        </w:rPr>
        <w:t>This case examined the consequences of Capital Gains Tax (CGT) where the sale of a property was cancelled before the seller had been paid in full.</w:t>
      </w: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  <w:r w:rsidRPr="00A6299F">
        <w:rPr>
          <w:rFonts w:ascii="Arial" w:hAnsi="Arial" w:cs="Arial"/>
        </w:rPr>
        <w:t>In the 2007 year of assessment a property was sold and a substantial capital gain was taken into account in the seller’s tax assessment for that year.</w:t>
      </w:r>
      <w:r>
        <w:rPr>
          <w:rFonts w:ascii="Arial" w:hAnsi="Arial" w:cs="Arial"/>
        </w:rPr>
        <w:t xml:space="preserve">  </w:t>
      </w:r>
      <w:r w:rsidRPr="00A6299F">
        <w:rPr>
          <w:rFonts w:ascii="Arial" w:hAnsi="Arial" w:cs="Arial"/>
        </w:rPr>
        <w:t>Unfortunately, the purchaser defaulted, only paying a portion of the purchase price, resulting in an agreement to cancel the sale several years later.</w:t>
      </w:r>
      <w:r>
        <w:rPr>
          <w:rFonts w:ascii="Arial" w:hAnsi="Arial" w:cs="Arial"/>
        </w:rPr>
        <w:t xml:space="preserve">  T</w:t>
      </w:r>
      <w:r w:rsidRPr="00A6299F">
        <w:rPr>
          <w:rFonts w:ascii="Arial" w:hAnsi="Arial" w:cs="Arial"/>
        </w:rPr>
        <w:t>he property was returned to the seller, who also retained the payments made to it as pre-determined damages for breach of contract.</w:t>
      </w: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  <w:r w:rsidRPr="00A6299F">
        <w:rPr>
          <w:rFonts w:ascii="Arial" w:hAnsi="Arial" w:cs="Arial"/>
        </w:rPr>
        <w:t>The seller’s difficulty was that it was taxed on a capital gain it did not receive.</w:t>
      </w:r>
      <w:r>
        <w:rPr>
          <w:rFonts w:ascii="Arial" w:hAnsi="Arial" w:cs="Arial"/>
        </w:rPr>
        <w:t xml:space="preserve">  </w:t>
      </w:r>
      <w:r w:rsidRPr="00A6299F">
        <w:rPr>
          <w:rFonts w:ascii="Arial" w:hAnsi="Arial" w:cs="Arial"/>
        </w:rPr>
        <w:t>Although the cancellation years later led to a capital loss, it had no corresponding gain to set off against this loss.</w:t>
      </w:r>
      <w:r>
        <w:rPr>
          <w:rFonts w:ascii="Arial" w:hAnsi="Arial" w:cs="Arial"/>
        </w:rPr>
        <w:t xml:space="preserve"> </w:t>
      </w:r>
      <w:r w:rsidRPr="00A6299F">
        <w:rPr>
          <w:rFonts w:ascii="Arial" w:hAnsi="Arial" w:cs="Arial"/>
        </w:rPr>
        <w:t>The seller thus instituted review proceedings to set aside its 2007 assessment.</w:t>
      </w: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  <w:r w:rsidRPr="00A629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the s</w:t>
      </w:r>
      <w:r w:rsidRPr="00A6299F">
        <w:rPr>
          <w:rFonts w:ascii="Arial" w:hAnsi="Arial" w:cs="Arial"/>
        </w:rPr>
        <w:t xml:space="preserve">eller </w:t>
      </w:r>
      <w:r>
        <w:rPr>
          <w:rFonts w:ascii="Arial" w:hAnsi="Arial" w:cs="Arial"/>
        </w:rPr>
        <w:t xml:space="preserve">had </w:t>
      </w:r>
      <w:r w:rsidRPr="00A6299F">
        <w:rPr>
          <w:rFonts w:ascii="Arial" w:hAnsi="Arial" w:cs="Arial"/>
        </w:rPr>
        <w:t>never initially disputed the assessment, and three years had lapsed, SARS argued that the assessment was now final.</w:t>
      </w:r>
      <w:r>
        <w:rPr>
          <w:rFonts w:ascii="Arial" w:hAnsi="Arial" w:cs="Arial"/>
        </w:rPr>
        <w:t xml:space="preserve">  The s</w:t>
      </w:r>
      <w:r w:rsidRPr="00A6299F">
        <w:rPr>
          <w:rFonts w:ascii="Arial" w:hAnsi="Arial" w:cs="Arial"/>
        </w:rPr>
        <w:t>eller, however, contended that para 35(3)(c) and 25(2) of the 8</w:t>
      </w:r>
      <w:r w:rsidRPr="00A6299F">
        <w:rPr>
          <w:rFonts w:ascii="Arial" w:hAnsi="Arial" w:cs="Arial"/>
          <w:vertAlign w:val="superscript"/>
        </w:rPr>
        <w:t>th</w:t>
      </w:r>
      <w:r w:rsidRPr="00A6299F">
        <w:rPr>
          <w:rFonts w:ascii="Arial" w:hAnsi="Arial" w:cs="Arial"/>
        </w:rPr>
        <w:t xml:space="preserve"> Schedule to the Income Tax Act, 1962 allowed it to re-ope</w:t>
      </w:r>
      <w:r>
        <w:rPr>
          <w:rFonts w:ascii="Arial" w:hAnsi="Arial" w:cs="Arial"/>
        </w:rPr>
        <w:t xml:space="preserve">n </w:t>
      </w:r>
      <w:r w:rsidRPr="00A6299F">
        <w:rPr>
          <w:rFonts w:ascii="Arial" w:hAnsi="Arial" w:cs="Arial"/>
        </w:rPr>
        <w:t>t</w:t>
      </w:r>
      <w:r>
        <w:rPr>
          <w:rFonts w:ascii="Arial" w:hAnsi="Arial" w:cs="Arial"/>
        </w:rPr>
        <w:t>he</w:t>
      </w:r>
      <w:r w:rsidRPr="00A6299F">
        <w:rPr>
          <w:rFonts w:ascii="Arial" w:hAnsi="Arial" w:cs="Arial"/>
        </w:rPr>
        <w:t xml:space="preserve"> original assessment and re-determine its capital gain.</w:t>
      </w: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  <w:r w:rsidRPr="00A6299F">
        <w:rPr>
          <w:rFonts w:ascii="Arial" w:hAnsi="Arial" w:cs="Arial"/>
        </w:rPr>
        <w:t>While para 35(3) does allow for a reduction in the proceeds from a sale because of a cancellation of an agreement, the SCA held that for this to apply the cancellation must take place in the same year of assessment as the disposal of the asset.</w:t>
      </w:r>
      <w:r>
        <w:rPr>
          <w:rFonts w:ascii="Arial" w:hAnsi="Arial" w:cs="Arial"/>
        </w:rPr>
        <w:t xml:space="preserve">  </w:t>
      </w:r>
      <w:r w:rsidRPr="00A6299F">
        <w:rPr>
          <w:rFonts w:ascii="Arial" w:hAnsi="Arial" w:cs="Arial"/>
        </w:rPr>
        <w:t>Regarding para 25, the SCA held that, should there be a redetermination of a capital gain or loss that occurred in a prior year of assessment, such redetermination does not take place in the prior year but in the current year.</w:t>
      </w:r>
      <w:r>
        <w:rPr>
          <w:rFonts w:ascii="Arial" w:hAnsi="Arial" w:cs="Arial"/>
        </w:rPr>
        <w:t xml:space="preserve">  </w:t>
      </w:r>
      <w:r w:rsidRPr="00A6299F">
        <w:rPr>
          <w:rFonts w:ascii="Arial" w:hAnsi="Arial" w:cs="Arial"/>
        </w:rPr>
        <w:t>In other words, in the year in which the event occurs (e.g. sale cancellation) giving rise to the redetermination.</w:t>
      </w:r>
    </w:p>
    <w:p w:rsidR="00D52CF2" w:rsidRPr="00A6299F" w:rsidRDefault="00D52CF2" w:rsidP="00D52C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 dismissing the s</w:t>
      </w:r>
      <w:r w:rsidRPr="00A6299F">
        <w:rPr>
          <w:rFonts w:ascii="Arial" w:hAnsi="Arial" w:cs="Arial"/>
        </w:rPr>
        <w:t xml:space="preserve">eller’s appeal, the SCA highlighted that an assessed capital loss is a valuable asset for a taxpayer, and whether it was used to set-off against a future capital gain was entirely within the taxpayer’s control. </w:t>
      </w:r>
    </w:p>
    <w:p w:rsidR="00D52CF2" w:rsidRPr="00A6299F" w:rsidRDefault="00D52CF2" w:rsidP="00D52CF2">
      <w:pPr>
        <w:jc w:val="both"/>
        <w:rPr>
          <w:rFonts w:ascii="Arial" w:hAnsi="Arial" w:cs="Arial"/>
        </w:rPr>
      </w:pPr>
    </w:p>
    <w:p w:rsidR="00D52CF2" w:rsidRPr="00A6299F" w:rsidRDefault="00D52CF2" w:rsidP="00D52CF2">
      <w:pPr>
        <w:jc w:val="both"/>
        <w:rPr>
          <w:rFonts w:ascii="Arial" w:hAnsi="Arial" w:cs="Arial"/>
        </w:rPr>
      </w:pPr>
      <w:r w:rsidRPr="00A6299F">
        <w:rPr>
          <w:rFonts w:ascii="Arial" w:hAnsi="Arial" w:cs="Arial"/>
          <w:lang w:val="en-US"/>
        </w:rPr>
        <w:t xml:space="preserve">This article has been written by </w:t>
      </w:r>
      <w:r w:rsidRPr="00A6299F">
        <w:rPr>
          <w:rFonts w:ascii="Arial" w:hAnsi="Arial" w:cs="Arial"/>
        </w:rPr>
        <w:t>Graeme Palmer</w:t>
      </w:r>
      <w:r w:rsidRPr="00A6299F">
        <w:rPr>
          <w:rFonts w:ascii="Arial" w:hAnsi="Arial" w:cs="Arial"/>
          <w:lang w:val="en-US"/>
        </w:rPr>
        <w:t xml:space="preserve">, a Director </w:t>
      </w:r>
      <w:r w:rsidRPr="00A6299F">
        <w:rPr>
          <w:rFonts w:ascii="Arial" w:hAnsi="Arial" w:cs="Arial"/>
        </w:rPr>
        <w:t xml:space="preserve">in the Commercial Department of </w:t>
      </w:r>
      <w:proofErr w:type="spellStart"/>
      <w:r w:rsidRPr="00A6299F">
        <w:rPr>
          <w:rFonts w:ascii="Arial" w:hAnsi="Arial" w:cs="Arial"/>
        </w:rPr>
        <w:t>Garlicke</w:t>
      </w:r>
      <w:proofErr w:type="spellEnd"/>
      <w:r w:rsidRPr="00A6299F">
        <w:rPr>
          <w:rFonts w:ascii="Arial" w:hAnsi="Arial" w:cs="Arial"/>
        </w:rPr>
        <w:t xml:space="preserve"> &amp; </w:t>
      </w:r>
      <w:proofErr w:type="spellStart"/>
      <w:r w:rsidRPr="00A6299F">
        <w:rPr>
          <w:rFonts w:ascii="Arial" w:hAnsi="Arial" w:cs="Arial"/>
        </w:rPr>
        <w:t>Bousfield</w:t>
      </w:r>
      <w:proofErr w:type="spellEnd"/>
      <w:r w:rsidRPr="00A6299F">
        <w:rPr>
          <w:rFonts w:ascii="Arial" w:hAnsi="Arial" w:cs="Arial"/>
        </w:rPr>
        <w:t xml:space="preserve"> </w:t>
      </w:r>
      <w:proofErr w:type="spellStart"/>
      <w:r w:rsidRPr="00A6299F">
        <w:rPr>
          <w:rFonts w:ascii="Arial" w:hAnsi="Arial" w:cs="Arial"/>
        </w:rPr>
        <w:t>Inc</w:t>
      </w:r>
      <w:proofErr w:type="spellEnd"/>
    </w:p>
    <w:p w:rsidR="000A66D6" w:rsidRDefault="00E824CD" w:rsidP="00E824CD">
      <w:pPr>
        <w:spacing w:after="0"/>
        <w:jc w:val="both"/>
        <w:rPr>
          <w:rFonts w:cs="Arial"/>
          <w:b/>
        </w:rPr>
      </w:pPr>
      <w:r w:rsidRPr="000A66D6">
        <w:rPr>
          <w:rFonts w:cs="Arial"/>
          <w:b/>
        </w:rPr>
        <w:t>NOTE: This information should not be regarded as legal advice and is merely provided for information purposes on various aspects of litigation.</w:t>
      </w:r>
    </w:p>
    <w:p w:rsidR="000A66D6" w:rsidRDefault="000A66D6" w:rsidP="00E824CD">
      <w:pPr>
        <w:spacing w:after="0"/>
        <w:jc w:val="both"/>
        <w:rPr>
          <w:rFonts w:cs="Arial"/>
          <w:b/>
        </w:rPr>
      </w:pPr>
    </w:p>
    <w:p w:rsidR="000A66D6" w:rsidRPr="005513C5" w:rsidRDefault="000A66D6" w:rsidP="000A66D6">
      <w:pPr>
        <w:spacing w:after="0"/>
        <w:jc w:val="both"/>
        <w:rPr>
          <w:rStyle w:val="Hyperlink"/>
        </w:rPr>
      </w:pPr>
      <w:r w:rsidRPr="007B393A">
        <w:rPr>
          <w:b/>
        </w:rPr>
        <w:t>For more information contact Lizette Martins, details below</w:t>
      </w:r>
      <w:r>
        <w:t>.</w:t>
      </w:r>
    </w:p>
    <w:p w:rsidR="00D41A39" w:rsidRDefault="00D41A39">
      <w:bookmarkStart w:id="0" w:name="_GoBack"/>
      <w:bookmarkEnd w:id="0"/>
    </w:p>
    <w:sectPr w:rsidR="00D41A39" w:rsidSect="00D41A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35" w:rsidRDefault="00367F35">
    <w:pPr>
      <w:spacing w:after="0"/>
      <w:jc w:val="center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Tel: 031 564 3238 | Fax: 031 563-3836 I Email: accounts@gibbsanddold.co.za | Website: </w:t>
    </w:r>
    <w:hyperlink r:id="rId1" w:history="1">
      <w:r>
        <w:rPr>
          <w:rStyle w:val="Hyperlink"/>
          <w:rFonts w:ascii="Calibri" w:hAnsi="Calibri" w:cs="Calibri"/>
          <w:color w:val="000000"/>
          <w:sz w:val="19"/>
          <w:szCs w:val="19"/>
        </w:rPr>
        <w:t>www.gibbsanddold.co.za</w:t>
      </w:r>
    </w:hyperlink>
  </w:p>
  <w:p w:rsidR="00367F35" w:rsidRDefault="00367F35">
    <w:pPr>
      <w:spacing w:after="0"/>
      <w:jc w:val="center"/>
      <w:rPr>
        <w:rFonts w:ascii="Arial" w:hAnsi="Arial" w:cs="Arial"/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Office: 3 Sherborne Place, Durban North, 4051 | GPS Co-ordinates: </w:t>
    </w:r>
    <w:r>
      <w:rPr>
        <w:rFonts w:ascii="Arial" w:hAnsi="Arial" w:cs="Arial"/>
        <w:color w:val="000000"/>
        <w:sz w:val="18"/>
        <w:szCs w:val="18"/>
      </w:rPr>
      <w:t>-29.788849, 31.029278</w:t>
    </w:r>
  </w:p>
  <w:p w:rsidR="00367F35" w:rsidRDefault="00367F35">
    <w:pPr>
      <w:spacing w:after="0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Factory: Unit 2 Formosa Park, 21 </w:t>
    </w:r>
    <w:proofErr w:type="spellStart"/>
    <w:r>
      <w:rPr>
        <w:rFonts w:ascii="Arial" w:hAnsi="Arial" w:cs="Arial"/>
        <w:color w:val="000000"/>
        <w:sz w:val="18"/>
        <w:szCs w:val="18"/>
      </w:rPr>
      <w:t>Aloefield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Crescent, Springfield Park, 4051</w:t>
    </w:r>
    <w:r>
      <w:rPr>
        <w:color w:val="000000"/>
        <w:sz w:val="18"/>
        <w:szCs w:val="18"/>
      </w:rPr>
      <w:t xml:space="preserve"> | GPS Co-ordinates: </w:t>
    </w:r>
    <w:r>
      <w:rPr>
        <w:rFonts w:ascii="Times New Roman" w:hAnsi="Times New Roman" w:cs="Times New Roman"/>
        <w:color w:val="000000"/>
        <w:sz w:val="18"/>
        <w:szCs w:val="18"/>
      </w:rPr>
      <w:t>-29.803471, 30.99728</w:t>
    </w:r>
  </w:p>
  <w:p w:rsidR="00367F35" w:rsidRDefault="00367F35">
    <w:pPr>
      <w:spacing w:after="0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Satellite Office: 93 Pelican Close, Grotto Bay, Western Cape</w:t>
    </w:r>
    <w:r>
      <w:rPr>
        <w:color w:val="000000"/>
        <w:sz w:val="18"/>
        <w:szCs w:val="18"/>
      </w:rPr>
      <w:t xml:space="preserve"> | GPS Co-ordinates: </w:t>
    </w:r>
    <w:r>
      <w:rPr>
        <w:rFonts w:ascii="Times New Roman" w:hAnsi="Times New Roman" w:cs="Times New Roman"/>
        <w:color w:val="000000"/>
        <w:sz w:val="18"/>
        <w:szCs w:val="18"/>
      </w:rPr>
      <w:t>-33.498485, 18.320044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35" w:rsidRDefault="00D52CF2">
    <w:pPr>
      <w:pStyle w:val="Header"/>
      <w:spacing w:before="100" w:beforeAutospacing="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ZA" w:eastAsia="en-ZA"/>
      </w:rPr>
      <w:drawing>
        <wp:inline distT="0" distB="0" distL="0" distR="0">
          <wp:extent cx="2057400" cy="571500"/>
          <wp:effectExtent l="2540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67F35">
      <w:rPr>
        <w:rFonts w:ascii="Times New Roman" w:hAnsi="Times New Roman" w:cs="Times New Roman"/>
      </w:rPr>
      <w:t xml:space="preserve">                                                       PRESS RELEASE </w:t>
    </w:r>
  </w:p>
  <w:p w:rsidR="00367F35" w:rsidRDefault="00FA1B3D">
    <w:pPr>
      <w:pStyle w:val="Header"/>
      <w:spacing w:before="100" w:beforeAutospacing="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19 </w:t>
    </w:r>
    <w:proofErr w:type="gramStart"/>
    <w:r>
      <w:rPr>
        <w:rFonts w:ascii="Times New Roman" w:hAnsi="Times New Roman" w:cs="Times New Roman"/>
      </w:rPr>
      <w:t>APRIL</w:t>
    </w:r>
    <w:r w:rsidR="002772B4">
      <w:rPr>
        <w:rFonts w:ascii="Times New Roman" w:hAnsi="Times New Roman" w:cs="Times New Roman"/>
      </w:rPr>
      <w:t xml:space="preserve">  2017</w:t>
    </w:r>
    <w:proofErr w:type="gramEnd"/>
  </w:p>
  <w:p w:rsidR="00367F35" w:rsidRDefault="00367F3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373EF"/>
    <w:multiLevelType w:val="hybridMultilevel"/>
    <w:tmpl w:val="EF46EA7E"/>
    <w:lvl w:ilvl="0" w:tplc="1C090001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9"/>
    <w:rsid w:val="00077DBE"/>
    <w:rsid w:val="000A66D6"/>
    <w:rsid w:val="002772B4"/>
    <w:rsid w:val="002A5BB5"/>
    <w:rsid w:val="00367F35"/>
    <w:rsid w:val="003A244E"/>
    <w:rsid w:val="00561493"/>
    <w:rsid w:val="00D41A39"/>
    <w:rsid w:val="00D52CF2"/>
    <w:rsid w:val="00D60757"/>
    <w:rsid w:val="00E824CD"/>
    <w:rsid w:val="00F90CC1"/>
    <w:rsid w:val="00FA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A49460-990C-4D15-AF52-F160AAC9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B5"/>
    <w:pPr>
      <w:spacing w:after="200" w:line="276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5BB5"/>
    <w:pPr>
      <w:ind w:left="720"/>
    </w:pPr>
  </w:style>
  <w:style w:type="character" w:styleId="Hyperlink">
    <w:name w:val="Hyperlink"/>
    <w:basedOn w:val="DefaultParagraphFont"/>
    <w:uiPriority w:val="99"/>
    <w:rsid w:val="002A5BB5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5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B5"/>
    <w:rPr>
      <w:rFonts w:ascii="Times New Roman" w:hAnsi="Times New Roman" w:cs="Times New Roman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2A5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B5"/>
    <w:rPr>
      <w:rFonts w:ascii="Times New Roman" w:hAnsi="Times New Roman" w:cs="Times New Roman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2A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BB5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rsid w:val="002A5BB5"/>
    <w:pPr>
      <w:spacing w:before="100" w:beforeAutospacing="1" w:after="100" w:afterAutospacing="1" w:line="240" w:lineRule="auto"/>
    </w:pPr>
    <w:rPr>
      <w:sz w:val="24"/>
      <w:szCs w:val="24"/>
      <w:lang w:val="en-ZA" w:eastAsia="en-ZA"/>
    </w:rPr>
  </w:style>
  <w:style w:type="paragraph" w:styleId="BodyText">
    <w:name w:val="Body Text"/>
    <w:basedOn w:val="Normal"/>
    <w:link w:val="BodyTextChar"/>
    <w:uiPriority w:val="99"/>
    <w:rsid w:val="002A5BB5"/>
    <w:pPr>
      <w:spacing w:after="0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A5BB5"/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bbsanddold.co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DURBAN LAW FIRM APPOINTS NEW DIRECTORS</vt:lpstr>
    </vt:vector>
  </TitlesOfParts>
  <Company>Gibbs &amp; Dold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DURBAN LAW FIRM APPOINTS NEW DIRECTORS</dc:title>
  <dc:subject/>
  <dc:creator>Graeme Palmer</dc:creator>
  <cp:keywords/>
  <dc:description/>
  <cp:lastModifiedBy>John De Villiers</cp:lastModifiedBy>
  <cp:revision>3</cp:revision>
  <cp:lastPrinted>2016-02-11T08:27:00Z</cp:lastPrinted>
  <dcterms:created xsi:type="dcterms:W3CDTF">2017-04-26T10:58:00Z</dcterms:created>
  <dcterms:modified xsi:type="dcterms:W3CDTF">2017-04-26T10:59:00Z</dcterms:modified>
</cp:coreProperties>
</file>