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E1" w:rsidRDefault="0005455D" w:rsidP="00035AE1">
      <w:r>
        <w:rPr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0B706D80" wp14:editId="24330574">
            <wp:simplePos x="0" y="0"/>
            <wp:positionH relativeFrom="margin">
              <wp:posOffset>-518160</wp:posOffset>
            </wp:positionH>
            <wp:positionV relativeFrom="page">
              <wp:posOffset>236220</wp:posOffset>
            </wp:positionV>
            <wp:extent cx="2502535" cy="1295400"/>
            <wp:effectExtent l="0" t="0" r="0" b="0"/>
            <wp:wrapNone/>
            <wp:docPr id="5" name="Picture 5" descr="Logo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eader.jp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F84">
        <w:tab/>
      </w:r>
      <w:r w:rsidR="00F72F84">
        <w:tab/>
      </w:r>
      <w:r w:rsidR="00F72F84">
        <w:tab/>
      </w:r>
      <w:r w:rsidR="00F72F84">
        <w:tab/>
      </w:r>
      <w:r w:rsidR="00F72F84">
        <w:tab/>
      </w:r>
      <w:r w:rsidR="00F72F84">
        <w:tab/>
      </w:r>
      <w:r w:rsidR="00F72F84">
        <w:tab/>
      </w:r>
      <w:r w:rsidR="00F72F84">
        <w:tab/>
      </w:r>
      <w:r w:rsidR="00F72F84">
        <w:tab/>
      </w:r>
      <w:r w:rsidR="00F72F84">
        <w:tab/>
      </w:r>
      <w:r w:rsidR="00F72F84">
        <w:tab/>
      </w:r>
    </w:p>
    <w:p w:rsidR="00F72F84" w:rsidRDefault="00F72F84" w:rsidP="00035AE1"/>
    <w:p w:rsidR="0005455D" w:rsidRDefault="0005455D" w:rsidP="00035AE1"/>
    <w:p w:rsidR="0005455D" w:rsidRDefault="0005455D" w:rsidP="00035AE1"/>
    <w:p w:rsidR="00DF441C" w:rsidRDefault="00DF441C" w:rsidP="00035AE1"/>
    <w:p w:rsidR="00F72F84" w:rsidRDefault="00F72F84" w:rsidP="00035AE1"/>
    <w:p w:rsidR="00AA0C7B" w:rsidRPr="00DF441C" w:rsidRDefault="001C38DC" w:rsidP="00DF441C">
      <w:pPr>
        <w:pBdr>
          <w:top w:val="single" w:sz="4" w:space="1" w:color="auto"/>
          <w:bottom w:val="single" w:sz="4" w:space="1" w:color="auto"/>
        </w:pBdr>
        <w:rPr>
          <w:rFonts w:ascii="Helvetica" w:hAnsi="Helvetica" w:cs="Helvetica"/>
          <w:color w:val="000000"/>
          <w:sz w:val="28"/>
          <w:szCs w:val="28"/>
        </w:rPr>
      </w:pPr>
      <w:bookmarkStart w:id="0" w:name="_GoBack"/>
      <w:r w:rsidRPr="00DF441C">
        <w:rPr>
          <w:rFonts w:ascii="Helvetica" w:hAnsi="Helvetica" w:cs="Helvetica"/>
          <w:color w:val="000000"/>
          <w:sz w:val="28"/>
          <w:szCs w:val="28"/>
        </w:rPr>
        <w:t xml:space="preserve">The implementation of the remaining chapters of the Legal Practice Act </w:t>
      </w:r>
      <w:r w:rsidR="006852FE" w:rsidRPr="00DF441C">
        <w:rPr>
          <w:rFonts w:ascii="Helvetica" w:hAnsi="Helvetica" w:cs="Helvetica"/>
          <w:color w:val="000000"/>
          <w:sz w:val="28"/>
          <w:szCs w:val="28"/>
        </w:rPr>
        <w:t>N</w:t>
      </w:r>
      <w:r w:rsidRPr="00DF441C">
        <w:rPr>
          <w:rFonts w:ascii="Helvetica" w:hAnsi="Helvetica" w:cs="Helvetica"/>
          <w:color w:val="000000"/>
          <w:sz w:val="28"/>
          <w:szCs w:val="28"/>
        </w:rPr>
        <w:t>o. 28 of 2014, scheduled for 1 November 2018, affects all Legal Practitioners</w:t>
      </w:r>
    </w:p>
    <w:p w:rsidR="00AA0C7B" w:rsidRDefault="00AA0C7B" w:rsidP="00DF441C"/>
    <w:p w:rsidR="003F0D11" w:rsidRDefault="003F0D11" w:rsidP="00DF441C">
      <w:pPr>
        <w:jc w:val="both"/>
        <w:rPr>
          <w:rFonts w:ascii="Helvetica" w:hAnsi="Helvetica" w:cs="Helvetica"/>
        </w:rPr>
      </w:pPr>
      <w:r w:rsidRPr="003F0D11">
        <w:rPr>
          <w:rFonts w:ascii="Helvetica" w:hAnsi="Helvetica" w:cs="Helvetica"/>
        </w:rPr>
        <w:t xml:space="preserve">Following </w:t>
      </w:r>
      <w:r w:rsidRPr="003F0D11">
        <w:rPr>
          <w:rFonts w:ascii="Helvetica" w:hAnsi="Helvetica" w:cs="Helvetica"/>
          <w:sz w:val="24"/>
        </w:rPr>
        <w:t>on</w:t>
      </w:r>
      <w:r w:rsidRPr="003F0D11">
        <w:rPr>
          <w:rFonts w:ascii="Helvetica" w:hAnsi="Helvetica" w:cs="Helvetica"/>
        </w:rPr>
        <w:t xml:space="preserve"> many years of comments on the Legal Practice Bill, the Legal Practice Act No. 28 of 2014 was enacted on 22 September 2014 (Government Gazette No 38022).</w:t>
      </w:r>
      <w:r>
        <w:rPr>
          <w:rFonts w:ascii="Helvetica" w:hAnsi="Helvetica" w:cs="Helvetica"/>
        </w:rPr>
        <w:t xml:space="preserve"> </w:t>
      </w:r>
      <w:r w:rsidR="00DF441C">
        <w:rPr>
          <w:rFonts w:ascii="Helvetica" w:hAnsi="Helvetica" w:cs="Helvetica"/>
        </w:rPr>
        <w:t>T</w:t>
      </w:r>
      <w:r w:rsidR="00610C60" w:rsidRPr="00DF441C">
        <w:rPr>
          <w:rFonts w:ascii="Helvetica" w:hAnsi="Helvetica" w:cs="Helvetica"/>
        </w:rPr>
        <w:t xml:space="preserve">he remaining chapters </w:t>
      </w:r>
      <w:r w:rsidR="00957548" w:rsidRPr="00DF441C">
        <w:rPr>
          <w:rFonts w:ascii="Helvetica" w:hAnsi="Helvetica" w:cs="Helvetica"/>
        </w:rPr>
        <w:t>of the</w:t>
      </w:r>
      <w:r w:rsidR="00AA0C7B" w:rsidRPr="00DF441C">
        <w:rPr>
          <w:rFonts w:ascii="Helvetica" w:hAnsi="Helvetica" w:cs="Helvetica"/>
        </w:rPr>
        <w:t xml:space="preserve"> Legal Practice Act </w:t>
      </w:r>
      <w:r w:rsidR="005A4DCC">
        <w:rPr>
          <w:rFonts w:ascii="Helvetica" w:hAnsi="Helvetica" w:cs="Helvetica"/>
        </w:rPr>
        <w:t>are scheduled for implementation</w:t>
      </w:r>
      <w:r w:rsidR="004A08A2" w:rsidRPr="00DF441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on the </w:t>
      </w:r>
      <w:r w:rsidRPr="003F0D11">
        <w:rPr>
          <w:rFonts w:ascii="Helvetica" w:hAnsi="Helvetica" w:cs="Helvetica"/>
          <w:b/>
        </w:rPr>
        <w:t>1</w:t>
      </w:r>
      <w:r w:rsidRPr="003F0D11">
        <w:rPr>
          <w:rFonts w:ascii="Helvetica" w:hAnsi="Helvetica" w:cs="Helvetica"/>
          <w:b/>
          <w:vertAlign w:val="superscript"/>
        </w:rPr>
        <w:t>st</w:t>
      </w:r>
      <w:r w:rsidRPr="003F0D11">
        <w:rPr>
          <w:rFonts w:ascii="Helvetica" w:hAnsi="Helvetica" w:cs="Helvetica"/>
          <w:b/>
        </w:rPr>
        <w:t xml:space="preserve"> of November 2018</w:t>
      </w:r>
      <w:r>
        <w:rPr>
          <w:rFonts w:ascii="Helvetica" w:hAnsi="Helvetica" w:cs="Helvetica"/>
        </w:rPr>
        <w:t xml:space="preserve"> thereby replacing the </w:t>
      </w:r>
      <w:r w:rsidR="00F23070">
        <w:rPr>
          <w:rFonts w:ascii="Helvetica" w:hAnsi="Helvetica" w:cs="Helvetica"/>
        </w:rPr>
        <w:t>Attorneys Act 53 of 1979 in its entirety</w:t>
      </w:r>
      <w:r>
        <w:rPr>
          <w:rFonts w:ascii="Helvetica" w:hAnsi="Helvetica" w:cs="Helvetica"/>
        </w:rPr>
        <w:t>.</w:t>
      </w:r>
    </w:p>
    <w:p w:rsidR="003F0D11" w:rsidRDefault="003F0D11" w:rsidP="00DF441C">
      <w:pPr>
        <w:jc w:val="both"/>
        <w:rPr>
          <w:rFonts w:ascii="Helvetica" w:hAnsi="Helvetica" w:cs="Helvetica"/>
        </w:rPr>
      </w:pPr>
    </w:p>
    <w:p w:rsidR="003F0D11" w:rsidRDefault="00F23070" w:rsidP="00DF441C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This letter serves to inform stakeholders </w:t>
      </w:r>
      <w:r w:rsidR="003F0D11">
        <w:rPr>
          <w:rFonts w:ascii="Helvetica" w:hAnsi="Helvetica" w:cs="Helvetica"/>
        </w:rPr>
        <w:t xml:space="preserve">of changes that </w:t>
      </w:r>
      <w:r w:rsidR="0014181D">
        <w:rPr>
          <w:rFonts w:ascii="Helvetica" w:hAnsi="Helvetica" w:cs="Helvetica"/>
        </w:rPr>
        <w:t xml:space="preserve">are scheduled for </w:t>
      </w:r>
      <w:r w:rsidR="003F0D11">
        <w:rPr>
          <w:rFonts w:ascii="Helvetica" w:hAnsi="Helvetica" w:cs="Helvetica"/>
        </w:rPr>
        <w:t>operationali</w:t>
      </w:r>
      <w:r w:rsidR="0014181D">
        <w:rPr>
          <w:rFonts w:ascii="Helvetica" w:hAnsi="Helvetica" w:cs="Helvetica"/>
        </w:rPr>
        <w:t>sation</w:t>
      </w:r>
      <w:r w:rsidR="003F0D11">
        <w:rPr>
          <w:rFonts w:ascii="Helvetica" w:hAnsi="Helvetica" w:cs="Helvetica"/>
        </w:rPr>
        <w:t xml:space="preserve"> from the </w:t>
      </w:r>
      <w:r w:rsidR="00A01031">
        <w:rPr>
          <w:rFonts w:ascii="Helvetica" w:hAnsi="Helvetica" w:cs="Helvetica"/>
        </w:rPr>
        <w:t>1</w:t>
      </w:r>
      <w:r w:rsidR="00A01031" w:rsidRPr="00A01031">
        <w:rPr>
          <w:rFonts w:ascii="Helvetica" w:hAnsi="Helvetica" w:cs="Helvetica"/>
          <w:vertAlign w:val="superscript"/>
        </w:rPr>
        <w:t>st</w:t>
      </w:r>
      <w:r w:rsidR="00A01031">
        <w:rPr>
          <w:rFonts w:ascii="Helvetica" w:hAnsi="Helvetica" w:cs="Helvetica"/>
        </w:rPr>
        <w:t xml:space="preserve"> of November 2018, with</w:t>
      </w:r>
      <w:r w:rsidR="003F0D11">
        <w:rPr>
          <w:rFonts w:ascii="Helvetica" w:hAnsi="Helvetica" w:cs="Helvetica"/>
        </w:rPr>
        <w:t xml:space="preserve"> specific reference to </w:t>
      </w:r>
      <w:r>
        <w:rPr>
          <w:rFonts w:ascii="Helvetica" w:hAnsi="Helvetica" w:cs="Helvetica"/>
        </w:rPr>
        <w:t>S</w:t>
      </w:r>
      <w:r w:rsidR="009B5C5F">
        <w:rPr>
          <w:rFonts w:ascii="Helvetica" w:hAnsi="Helvetica" w:cs="Helvetica"/>
        </w:rPr>
        <w:t>ection 86</w:t>
      </w:r>
      <w:r>
        <w:rPr>
          <w:rFonts w:ascii="Helvetica" w:hAnsi="Helvetica" w:cs="Helvetica"/>
        </w:rPr>
        <w:t xml:space="preserve"> in its entirety</w:t>
      </w:r>
      <w:r w:rsidR="00A01031"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</w:rPr>
        <w:t>and</w:t>
      </w:r>
      <w:r w:rsidR="009B5C5F">
        <w:rPr>
          <w:rFonts w:ascii="Helvetica" w:hAnsi="Helvetica" w:cs="Helvetica"/>
        </w:rPr>
        <w:t xml:space="preserve"> </w:t>
      </w:r>
      <w:r w:rsidR="003F0D11">
        <w:rPr>
          <w:rFonts w:ascii="Helvetica" w:hAnsi="Helvetica" w:cs="Helvetica"/>
        </w:rPr>
        <w:t>S</w:t>
      </w:r>
      <w:r w:rsidR="009B5C5F">
        <w:rPr>
          <w:rFonts w:ascii="Helvetica" w:hAnsi="Helvetica" w:cs="Helvetica"/>
        </w:rPr>
        <w:t>ection 63 (1)(g) of the Legal Practice Act 28 of 2014</w:t>
      </w:r>
      <w:r w:rsidR="003F0D11">
        <w:rPr>
          <w:rFonts w:ascii="Helvetica" w:hAnsi="Helvetica" w:cs="Helvetica"/>
        </w:rPr>
        <w:t>.</w:t>
      </w:r>
    </w:p>
    <w:p w:rsidR="003F0D11" w:rsidRDefault="003F0D11" w:rsidP="00DF441C">
      <w:pPr>
        <w:jc w:val="both"/>
        <w:rPr>
          <w:rFonts w:ascii="Helvetica" w:hAnsi="Helvetica" w:cs="Helvetica"/>
        </w:rPr>
      </w:pPr>
    </w:p>
    <w:p w:rsidR="007E0008" w:rsidRPr="00DF441C" w:rsidRDefault="00304068" w:rsidP="00DF441C">
      <w:pPr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The</w:t>
      </w:r>
      <w:r w:rsidR="003F0D11">
        <w:rPr>
          <w:rFonts w:ascii="Helvetica" w:hAnsi="Helvetica" w:cs="Helvetica"/>
        </w:rPr>
        <w:t xml:space="preserve"> following changes </w:t>
      </w:r>
      <w:r w:rsidR="00446C85">
        <w:rPr>
          <w:rFonts w:ascii="Helvetica" w:hAnsi="Helvetica" w:cs="Helvetica"/>
        </w:rPr>
        <w:t>are scheduled to</w:t>
      </w:r>
      <w:r w:rsidR="003F0D11">
        <w:rPr>
          <w:rFonts w:ascii="Helvetica" w:hAnsi="Helvetica" w:cs="Helvetica"/>
        </w:rPr>
        <w:t xml:space="preserve"> take effect from</w:t>
      </w:r>
      <w:r w:rsidR="00354B2F">
        <w:rPr>
          <w:rFonts w:ascii="Helvetica" w:hAnsi="Helvetica" w:cs="Helvetica"/>
        </w:rPr>
        <w:t xml:space="preserve"> </w:t>
      </w:r>
      <w:r w:rsidR="00DD2E1C">
        <w:rPr>
          <w:rFonts w:ascii="Helvetica" w:hAnsi="Helvetica" w:cs="Helvetica"/>
        </w:rPr>
        <w:t>1 November 2018</w:t>
      </w:r>
      <w:r w:rsidR="003F0D11">
        <w:rPr>
          <w:rFonts w:ascii="Helvetica" w:hAnsi="Helvetica" w:cs="Helvetica"/>
        </w:rPr>
        <w:t xml:space="preserve">: </w:t>
      </w:r>
    </w:p>
    <w:p w:rsidR="00AA0C7B" w:rsidRPr="00DF441C" w:rsidRDefault="00AA0C7B" w:rsidP="00DF441C">
      <w:pPr>
        <w:jc w:val="both"/>
        <w:rPr>
          <w:rFonts w:ascii="Helvetica" w:hAnsi="Helvetica" w:cs="Helvetica"/>
        </w:rPr>
      </w:pPr>
    </w:p>
    <w:p w:rsidR="00035AE1" w:rsidRPr="00DF441C" w:rsidRDefault="00A01031" w:rsidP="00DF4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Under Chapter </w:t>
      </w:r>
      <w:r w:rsidR="00035AE1" w:rsidRPr="00DF441C">
        <w:rPr>
          <w:rFonts w:ascii="Helvetica" w:hAnsi="Helvetica" w:cs="Helvetica"/>
        </w:rPr>
        <w:t>7 of the Legal Practice Act (LPA)</w:t>
      </w:r>
      <w:r>
        <w:rPr>
          <w:rFonts w:ascii="Helvetica" w:hAnsi="Helvetica" w:cs="Helvetica"/>
        </w:rPr>
        <w:t xml:space="preserve"> </w:t>
      </w:r>
    </w:p>
    <w:p w:rsidR="00035AE1" w:rsidRPr="00DF441C" w:rsidRDefault="00035AE1" w:rsidP="00DF441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The Attorneys Fidelity Fund (AFF) will become the Legal Practitioners</w:t>
      </w:r>
      <w:r w:rsidR="00F23070">
        <w:rPr>
          <w:rFonts w:ascii="Helvetica" w:hAnsi="Helvetica" w:cs="Helvetica"/>
        </w:rPr>
        <w:t xml:space="preserve"> Fidelity</w:t>
      </w:r>
      <w:r w:rsidRPr="00DF441C">
        <w:rPr>
          <w:rFonts w:ascii="Helvetica" w:hAnsi="Helvetica" w:cs="Helvetica"/>
        </w:rPr>
        <w:t xml:space="preserve"> Fund (LPFF)</w:t>
      </w:r>
      <w:r w:rsidR="007E0008" w:rsidRPr="00DF441C">
        <w:rPr>
          <w:rFonts w:ascii="Helvetica" w:hAnsi="Helvetica" w:cs="Helvetica"/>
        </w:rPr>
        <w:t>.</w:t>
      </w:r>
    </w:p>
    <w:p w:rsidR="00035AE1" w:rsidRDefault="00035AE1" w:rsidP="00DF441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The four Law Societies will be dissolved and replaced by nine Provincial Councils</w:t>
      </w:r>
      <w:r w:rsidR="007E0008" w:rsidRPr="00DF441C">
        <w:rPr>
          <w:rFonts w:ascii="Helvetica" w:hAnsi="Helvetica" w:cs="Helvetica"/>
        </w:rPr>
        <w:t>.</w:t>
      </w:r>
    </w:p>
    <w:p w:rsidR="00F23070" w:rsidRDefault="00F23070" w:rsidP="00DF441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The nine Provincial Councils will fall under</w:t>
      </w:r>
      <w:r w:rsidR="00A01031">
        <w:rPr>
          <w:rFonts w:ascii="Helvetica" w:hAnsi="Helvetica" w:cs="Helvetica"/>
        </w:rPr>
        <w:t xml:space="preserve"> a new structure called</w:t>
      </w:r>
      <w:r>
        <w:rPr>
          <w:rFonts w:ascii="Helvetica" w:hAnsi="Helvetica" w:cs="Helvetica"/>
        </w:rPr>
        <w:t xml:space="preserve"> the Legal Practice Council.</w:t>
      </w:r>
    </w:p>
    <w:p w:rsidR="00F23070" w:rsidRPr="00DF441C" w:rsidRDefault="00F23070" w:rsidP="00DF441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Trust interest</w:t>
      </w:r>
      <w:r w:rsidR="00A01031">
        <w:rPr>
          <w:rFonts w:ascii="Helvetica" w:hAnsi="Helvetica" w:cs="Helvetica"/>
        </w:rPr>
        <w:t xml:space="preserve"> which has been paid to Law Societies </w:t>
      </w:r>
      <w:r>
        <w:rPr>
          <w:rFonts w:ascii="Helvetica" w:hAnsi="Helvetica" w:cs="Helvetica"/>
        </w:rPr>
        <w:t>will be payable directly to the L</w:t>
      </w:r>
      <w:r w:rsidR="00A01031">
        <w:rPr>
          <w:rFonts w:ascii="Helvetica" w:hAnsi="Helvetica" w:cs="Helvetica"/>
        </w:rPr>
        <w:t>egal Practitioners Fidelity Fund (LPFF)</w:t>
      </w:r>
      <w:r>
        <w:rPr>
          <w:rFonts w:ascii="Helvetica" w:hAnsi="Helvetica" w:cs="Helvetica"/>
        </w:rPr>
        <w:t>.</w:t>
      </w:r>
    </w:p>
    <w:p w:rsidR="00A01031" w:rsidRDefault="00A01031" w:rsidP="00A01031">
      <w:pPr>
        <w:jc w:val="both"/>
        <w:rPr>
          <w:rFonts w:ascii="Helvetica" w:hAnsi="Helvetica" w:cs="Helvetica"/>
        </w:rPr>
      </w:pPr>
    </w:p>
    <w:p w:rsidR="00035AE1" w:rsidRPr="00A01031" w:rsidRDefault="00035AE1" w:rsidP="00A01031">
      <w:pPr>
        <w:pStyle w:val="ListParagraph"/>
        <w:numPr>
          <w:ilvl w:val="0"/>
          <w:numId w:val="2"/>
        </w:numPr>
        <w:jc w:val="both"/>
        <w:rPr>
          <w:rFonts w:ascii="Helvetica" w:hAnsi="Helvetica" w:cs="Helvetica"/>
        </w:rPr>
      </w:pPr>
      <w:r w:rsidRPr="00A01031">
        <w:rPr>
          <w:rFonts w:ascii="Helvetica" w:hAnsi="Helvetica" w:cs="Helvetica"/>
        </w:rPr>
        <w:t xml:space="preserve">The following sections in the Attorneys Act will </w:t>
      </w:r>
      <w:r w:rsidR="001F7CBA" w:rsidRPr="00A01031">
        <w:rPr>
          <w:rFonts w:ascii="Helvetica" w:hAnsi="Helvetica" w:cs="Helvetica"/>
        </w:rPr>
        <w:t xml:space="preserve">be </w:t>
      </w:r>
      <w:r w:rsidRPr="00A01031">
        <w:rPr>
          <w:rFonts w:ascii="Helvetica" w:hAnsi="Helvetica" w:cs="Helvetica"/>
        </w:rPr>
        <w:t>replaced by the following sections in the LPA</w:t>
      </w:r>
      <w:r w:rsidR="009942B4" w:rsidRPr="00A01031">
        <w:rPr>
          <w:rFonts w:ascii="Helvetica" w:hAnsi="Helvetica" w:cs="Helvetica"/>
        </w:rPr>
        <w:t>:</w:t>
      </w:r>
    </w:p>
    <w:p w:rsidR="00035AE1" w:rsidRPr="00031452" w:rsidRDefault="00304068" w:rsidP="00A01031">
      <w:pPr>
        <w:pStyle w:val="ListParagraph"/>
        <w:numPr>
          <w:ilvl w:val="2"/>
          <w:numId w:val="2"/>
        </w:numPr>
        <w:spacing w:after="0" w:line="240" w:lineRule="auto"/>
        <w:ind w:left="1418"/>
        <w:jc w:val="both"/>
        <w:rPr>
          <w:rFonts w:ascii="Helvetica" w:hAnsi="Helvetica" w:cs="Helvetica"/>
          <w:lang w:val="en-ZA"/>
        </w:rPr>
      </w:pPr>
      <w:r w:rsidRPr="00DF441C">
        <w:rPr>
          <w:rFonts w:ascii="Helvetica" w:hAnsi="Helvetica" w:cs="Helvetica"/>
          <w:lang w:val="en-ZA"/>
        </w:rPr>
        <w:t>Section 78</w:t>
      </w:r>
      <w:r w:rsidR="00035AE1" w:rsidRPr="00DF441C">
        <w:rPr>
          <w:rFonts w:ascii="Helvetica" w:hAnsi="Helvetica" w:cs="Helvetica"/>
          <w:lang w:val="en-ZA"/>
        </w:rPr>
        <w:t>(1) </w:t>
      </w:r>
      <w:r w:rsidR="003F182E" w:rsidRPr="00DF441C">
        <w:rPr>
          <w:rFonts w:ascii="Helvetica" w:hAnsi="Helvetica" w:cs="Helvetica"/>
          <w:lang w:val="en-ZA"/>
        </w:rPr>
        <w:t xml:space="preserve">of the Attorneys Act will be replaced by </w:t>
      </w:r>
      <w:r w:rsidR="00A01031">
        <w:rPr>
          <w:rFonts w:ascii="Helvetica" w:hAnsi="Helvetica" w:cs="Helvetica"/>
          <w:lang w:val="en-ZA"/>
        </w:rPr>
        <w:t>S</w:t>
      </w:r>
      <w:r w:rsidR="00035AE1" w:rsidRPr="00DF441C">
        <w:rPr>
          <w:rFonts w:ascii="Helvetica" w:hAnsi="Helvetica" w:cs="Helvetica"/>
          <w:lang w:val="en-ZA"/>
        </w:rPr>
        <w:t xml:space="preserve">ection 86(2) of the LPA. </w:t>
      </w:r>
      <w:r w:rsidR="00035AE1" w:rsidRPr="00DF441C">
        <w:rPr>
          <w:rFonts w:ascii="Helvetica" w:hAnsi="Helvetica" w:cs="Helvetica"/>
          <w:i/>
          <w:iCs/>
          <w:lang w:val="en-ZA"/>
        </w:rPr>
        <w:t>(100% of trust interest earned</w:t>
      </w:r>
      <w:r w:rsidR="003F182E" w:rsidRPr="00DF441C">
        <w:rPr>
          <w:rFonts w:ascii="Helvetica" w:hAnsi="Helvetica" w:cs="Helvetica"/>
          <w:i/>
          <w:iCs/>
          <w:lang w:val="en-ZA"/>
        </w:rPr>
        <w:t>,</w:t>
      </w:r>
      <w:r w:rsidR="00035AE1" w:rsidRPr="00DF441C">
        <w:rPr>
          <w:rFonts w:ascii="Helvetica" w:hAnsi="Helvetica" w:cs="Helvetica"/>
          <w:i/>
          <w:iCs/>
          <w:lang w:val="en-ZA"/>
        </w:rPr>
        <w:t xml:space="preserve"> less </w:t>
      </w:r>
      <w:r w:rsidR="00081568" w:rsidRPr="00DF441C">
        <w:rPr>
          <w:rFonts w:ascii="Helvetica" w:hAnsi="Helvetica" w:cs="Helvetica"/>
          <w:i/>
          <w:iCs/>
          <w:lang w:val="en-ZA"/>
        </w:rPr>
        <w:t xml:space="preserve">approved </w:t>
      </w:r>
      <w:r w:rsidR="00035AE1" w:rsidRPr="00DF441C">
        <w:rPr>
          <w:rFonts w:ascii="Helvetica" w:hAnsi="Helvetica" w:cs="Helvetica"/>
          <w:i/>
          <w:iCs/>
          <w:lang w:val="en-ZA"/>
        </w:rPr>
        <w:t>recoverable bank charges</w:t>
      </w:r>
      <w:r w:rsidR="003F182E" w:rsidRPr="00DF441C">
        <w:rPr>
          <w:rFonts w:ascii="Helvetica" w:hAnsi="Helvetica" w:cs="Helvetica"/>
          <w:i/>
          <w:iCs/>
          <w:lang w:val="en-ZA"/>
        </w:rPr>
        <w:t>,</w:t>
      </w:r>
      <w:r w:rsidR="00035AE1" w:rsidRPr="00DF441C">
        <w:rPr>
          <w:rFonts w:ascii="Helvetica" w:hAnsi="Helvetica" w:cs="Helvetica"/>
          <w:i/>
          <w:iCs/>
          <w:lang w:val="en-ZA"/>
        </w:rPr>
        <w:t xml:space="preserve"> will be paid </w:t>
      </w:r>
      <w:r w:rsidR="00DF441C" w:rsidRPr="00DF441C">
        <w:rPr>
          <w:rFonts w:ascii="Helvetica" w:hAnsi="Helvetica" w:cs="Helvetica"/>
          <w:i/>
          <w:iCs/>
          <w:lang w:val="en-ZA"/>
        </w:rPr>
        <w:t>monthly</w:t>
      </w:r>
      <w:r w:rsidR="00035AE1" w:rsidRPr="00DF441C">
        <w:rPr>
          <w:rFonts w:ascii="Helvetica" w:hAnsi="Helvetica" w:cs="Helvetica"/>
          <w:i/>
          <w:iCs/>
          <w:lang w:val="en-ZA"/>
        </w:rPr>
        <w:t xml:space="preserve"> to the </w:t>
      </w:r>
      <w:r w:rsidR="002F1458" w:rsidRPr="00DF441C">
        <w:rPr>
          <w:rFonts w:ascii="Helvetica" w:hAnsi="Helvetica" w:cs="Helvetica"/>
          <w:i/>
          <w:iCs/>
          <w:lang w:val="en-ZA"/>
        </w:rPr>
        <w:t>LP</w:t>
      </w:r>
      <w:r w:rsidR="00035AE1" w:rsidRPr="00DF441C">
        <w:rPr>
          <w:rFonts w:ascii="Helvetica" w:hAnsi="Helvetica" w:cs="Helvetica"/>
          <w:i/>
          <w:iCs/>
          <w:lang w:val="en-ZA"/>
        </w:rPr>
        <w:t xml:space="preserve">FF </w:t>
      </w:r>
      <w:r w:rsidR="003B427A">
        <w:rPr>
          <w:rFonts w:ascii="Helvetica" w:hAnsi="Helvetica" w:cs="Helvetica"/>
        </w:rPr>
        <w:t xml:space="preserve">as provided for by Rule 54.14.16.1 made under the authority </w:t>
      </w:r>
      <w:r w:rsidR="00354B2F">
        <w:rPr>
          <w:rFonts w:ascii="Helvetica" w:hAnsi="Helvetica" w:cs="Helvetica"/>
        </w:rPr>
        <w:t xml:space="preserve">of </w:t>
      </w:r>
      <w:r w:rsidR="003B427A">
        <w:rPr>
          <w:rFonts w:ascii="Helvetica" w:hAnsi="Helvetica" w:cs="Helvetica"/>
        </w:rPr>
        <w:t>Section 95 (1) of the Legal Practice Act, 28 of 2014</w:t>
      </w:r>
      <w:r w:rsidR="00035AE1" w:rsidRPr="00DF441C">
        <w:rPr>
          <w:rFonts w:ascii="Helvetica" w:hAnsi="Helvetica" w:cs="Helvetica"/>
          <w:i/>
          <w:iCs/>
          <w:lang w:val="en-ZA"/>
        </w:rPr>
        <w:t>).</w:t>
      </w:r>
    </w:p>
    <w:p w:rsidR="00031452" w:rsidRPr="00DF441C" w:rsidRDefault="00031452" w:rsidP="00031452">
      <w:pPr>
        <w:pStyle w:val="ListParagraph"/>
        <w:spacing w:after="0" w:line="240" w:lineRule="auto"/>
        <w:ind w:left="1418"/>
        <w:jc w:val="both"/>
        <w:rPr>
          <w:rFonts w:ascii="Helvetica" w:hAnsi="Helvetica" w:cs="Helvetica"/>
          <w:lang w:val="en-ZA"/>
        </w:rPr>
      </w:pPr>
    </w:p>
    <w:p w:rsidR="00035AE1" w:rsidRPr="00031452" w:rsidRDefault="00035AE1" w:rsidP="00A01031">
      <w:pPr>
        <w:pStyle w:val="ListParagraph"/>
        <w:numPr>
          <w:ilvl w:val="2"/>
          <w:numId w:val="2"/>
        </w:numPr>
        <w:spacing w:after="0" w:line="240" w:lineRule="auto"/>
        <w:ind w:left="1418"/>
        <w:jc w:val="both"/>
        <w:rPr>
          <w:rFonts w:ascii="Helvetica" w:hAnsi="Helvetica" w:cs="Helvetica"/>
          <w:lang w:val="en-ZA"/>
        </w:rPr>
      </w:pPr>
      <w:r w:rsidRPr="00DF441C">
        <w:rPr>
          <w:rFonts w:ascii="Helvetica" w:hAnsi="Helvetica" w:cs="Helvetica"/>
          <w:lang w:val="en-ZA"/>
        </w:rPr>
        <w:t>Section 78(2)(a) </w:t>
      </w:r>
      <w:r w:rsidR="003F182E" w:rsidRPr="00DF441C">
        <w:rPr>
          <w:rFonts w:ascii="Helvetica" w:hAnsi="Helvetica" w:cs="Helvetica"/>
          <w:lang w:val="en-ZA"/>
        </w:rPr>
        <w:t>of the Attorneys Act will be replaced by</w:t>
      </w:r>
      <w:r w:rsidR="00624CD1" w:rsidRPr="00DF441C">
        <w:rPr>
          <w:rFonts w:ascii="Helvetica" w:hAnsi="Helvetica" w:cs="Helvetica"/>
          <w:lang w:val="en-ZA"/>
        </w:rPr>
        <w:t xml:space="preserve"> </w:t>
      </w:r>
      <w:r w:rsidR="00A01031">
        <w:rPr>
          <w:rFonts w:ascii="Helvetica" w:hAnsi="Helvetica" w:cs="Helvetica"/>
          <w:lang w:val="en-ZA"/>
        </w:rPr>
        <w:t>S</w:t>
      </w:r>
      <w:r w:rsidRPr="00DF441C">
        <w:rPr>
          <w:rFonts w:ascii="Helvetica" w:hAnsi="Helvetica" w:cs="Helvetica"/>
          <w:lang w:val="en-ZA"/>
        </w:rPr>
        <w:t xml:space="preserve">ection 86(3) of the LPA. </w:t>
      </w:r>
      <w:r w:rsidRPr="00DF441C">
        <w:rPr>
          <w:rFonts w:ascii="Helvetica" w:hAnsi="Helvetica" w:cs="Helvetica"/>
          <w:i/>
          <w:iCs/>
          <w:lang w:val="en-ZA"/>
        </w:rPr>
        <w:t xml:space="preserve">(100% of trust interest earned will be paid on an annual basis to the </w:t>
      </w:r>
      <w:r w:rsidR="002F1458" w:rsidRPr="00DF441C">
        <w:rPr>
          <w:rFonts w:ascii="Helvetica" w:hAnsi="Helvetica" w:cs="Helvetica"/>
          <w:i/>
          <w:iCs/>
          <w:lang w:val="en-ZA"/>
        </w:rPr>
        <w:t>LP</w:t>
      </w:r>
      <w:r w:rsidRPr="00DF441C">
        <w:rPr>
          <w:rFonts w:ascii="Helvetica" w:hAnsi="Helvetica" w:cs="Helvetica"/>
          <w:i/>
          <w:iCs/>
          <w:lang w:val="en-ZA"/>
        </w:rPr>
        <w:t xml:space="preserve">FF </w:t>
      </w:r>
      <w:r w:rsidR="006E7EAE">
        <w:rPr>
          <w:rFonts w:ascii="Helvetica" w:hAnsi="Helvetica" w:cs="Helvetica"/>
        </w:rPr>
        <w:t xml:space="preserve">as provided for by Rule 54.14.16.3 made under the authority </w:t>
      </w:r>
      <w:r w:rsidR="00354B2F">
        <w:rPr>
          <w:rFonts w:ascii="Helvetica" w:hAnsi="Helvetica" w:cs="Helvetica"/>
        </w:rPr>
        <w:t xml:space="preserve">of </w:t>
      </w:r>
      <w:r w:rsidR="006E7EAE">
        <w:rPr>
          <w:rFonts w:ascii="Helvetica" w:hAnsi="Helvetica" w:cs="Helvetica"/>
        </w:rPr>
        <w:t>Section 95 (1) of the Legal Practice Act, 28 of 2014</w:t>
      </w:r>
      <w:r w:rsidRPr="00DF441C">
        <w:rPr>
          <w:rFonts w:ascii="Helvetica" w:hAnsi="Helvetica" w:cs="Helvetica"/>
          <w:i/>
          <w:iCs/>
          <w:lang w:val="en-ZA"/>
        </w:rPr>
        <w:t>).</w:t>
      </w:r>
    </w:p>
    <w:p w:rsidR="00031452" w:rsidRPr="00031452" w:rsidRDefault="00031452" w:rsidP="00031452">
      <w:pPr>
        <w:pStyle w:val="ListParagraph"/>
        <w:rPr>
          <w:rFonts w:ascii="Helvetica" w:hAnsi="Helvetica" w:cs="Helvetica"/>
          <w:lang w:val="en-ZA"/>
        </w:rPr>
      </w:pPr>
    </w:p>
    <w:p w:rsidR="00035AE1" w:rsidRPr="00031452" w:rsidRDefault="00035AE1" w:rsidP="00A01031">
      <w:pPr>
        <w:pStyle w:val="ListParagraph"/>
        <w:numPr>
          <w:ilvl w:val="2"/>
          <w:numId w:val="2"/>
        </w:numPr>
        <w:spacing w:after="0" w:line="240" w:lineRule="auto"/>
        <w:ind w:left="1418"/>
        <w:jc w:val="both"/>
        <w:rPr>
          <w:rFonts w:ascii="Helvetica" w:hAnsi="Helvetica" w:cs="Helvetica"/>
          <w:lang w:val="en-ZA"/>
        </w:rPr>
      </w:pPr>
      <w:r w:rsidRPr="00DF441C">
        <w:rPr>
          <w:rFonts w:ascii="Helvetica" w:hAnsi="Helvetica" w:cs="Helvetica"/>
          <w:lang w:val="en-ZA"/>
        </w:rPr>
        <w:t>Section 78(2A)</w:t>
      </w:r>
      <w:r w:rsidR="006E0FC7" w:rsidRPr="00DF441C">
        <w:rPr>
          <w:rFonts w:ascii="Helvetica" w:hAnsi="Helvetica" w:cs="Helvetica"/>
          <w:lang w:val="en-ZA"/>
        </w:rPr>
        <w:t> of</w:t>
      </w:r>
      <w:r w:rsidR="003F182E" w:rsidRPr="00DF441C">
        <w:rPr>
          <w:rFonts w:ascii="Helvetica" w:hAnsi="Helvetica" w:cs="Helvetica"/>
          <w:lang w:val="en-ZA"/>
        </w:rPr>
        <w:t xml:space="preserve"> the Attorneys Act will be replaced by</w:t>
      </w:r>
      <w:r w:rsidR="00A501E9" w:rsidRPr="00DF441C">
        <w:rPr>
          <w:rFonts w:ascii="Helvetica" w:hAnsi="Helvetica" w:cs="Helvetica"/>
          <w:lang w:val="en-ZA"/>
        </w:rPr>
        <w:t> </w:t>
      </w:r>
      <w:r w:rsidR="00A01031">
        <w:rPr>
          <w:rFonts w:ascii="Helvetica" w:hAnsi="Helvetica" w:cs="Helvetica"/>
          <w:lang w:val="en-ZA"/>
        </w:rPr>
        <w:t>S</w:t>
      </w:r>
      <w:r w:rsidRPr="00DF441C">
        <w:rPr>
          <w:rFonts w:ascii="Helvetica" w:hAnsi="Helvetica" w:cs="Helvetica"/>
          <w:lang w:val="en-ZA"/>
        </w:rPr>
        <w:t xml:space="preserve">ection 86(4) of the LPA. </w:t>
      </w:r>
      <w:r w:rsidRPr="00DF441C">
        <w:rPr>
          <w:rFonts w:ascii="Helvetica" w:hAnsi="Helvetica" w:cs="Helvetica"/>
          <w:i/>
          <w:iCs/>
          <w:lang w:val="en-ZA"/>
        </w:rPr>
        <w:t>(With effect from 1 March 2019</w:t>
      </w:r>
      <w:r w:rsidR="002F1458" w:rsidRPr="00DF441C">
        <w:rPr>
          <w:rFonts w:ascii="Helvetica" w:hAnsi="Helvetica" w:cs="Helvetica"/>
          <w:i/>
          <w:iCs/>
          <w:lang w:val="en-ZA"/>
        </w:rPr>
        <w:t>, 5</w:t>
      </w:r>
      <w:r w:rsidRPr="00DF441C">
        <w:rPr>
          <w:rFonts w:ascii="Helvetica" w:hAnsi="Helvetica" w:cs="Helvetica"/>
          <w:i/>
          <w:iCs/>
          <w:lang w:val="en-ZA"/>
        </w:rPr>
        <w:t xml:space="preserve">% of the trust interest earned will be paid </w:t>
      </w:r>
      <w:r w:rsidR="00DF441C" w:rsidRPr="00DF441C">
        <w:rPr>
          <w:rFonts w:ascii="Helvetica" w:hAnsi="Helvetica" w:cs="Helvetica"/>
          <w:i/>
          <w:iCs/>
          <w:lang w:val="en-ZA"/>
        </w:rPr>
        <w:t>monthly</w:t>
      </w:r>
      <w:r w:rsidRPr="00DF441C">
        <w:rPr>
          <w:rFonts w:ascii="Helvetica" w:hAnsi="Helvetica" w:cs="Helvetica"/>
          <w:i/>
          <w:iCs/>
          <w:lang w:val="en-ZA"/>
        </w:rPr>
        <w:t xml:space="preserve"> to the LPFF in terms of section 86(5))</w:t>
      </w:r>
      <w:r w:rsidR="006E7EAE">
        <w:rPr>
          <w:rFonts w:ascii="Helvetica" w:hAnsi="Helvetica" w:cs="Helvetica"/>
          <w:i/>
          <w:iCs/>
          <w:lang w:val="en-ZA"/>
        </w:rPr>
        <w:t xml:space="preserve"> and </w:t>
      </w:r>
      <w:r w:rsidR="006E7EAE">
        <w:rPr>
          <w:rFonts w:ascii="Helvetica" w:hAnsi="Helvetica" w:cs="Helvetica"/>
        </w:rPr>
        <w:t xml:space="preserve">as provided for by Rule 54.14.16.4 made under the authority </w:t>
      </w:r>
      <w:r w:rsidR="00354B2F">
        <w:rPr>
          <w:rFonts w:ascii="Helvetica" w:hAnsi="Helvetica" w:cs="Helvetica"/>
        </w:rPr>
        <w:t xml:space="preserve">of </w:t>
      </w:r>
      <w:r w:rsidR="006E7EAE">
        <w:rPr>
          <w:rFonts w:ascii="Helvetica" w:hAnsi="Helvetica" w:cs="Helvetica"/>
        </w:rPr>
        <w:t>Section 95 (1) of the Legal Practice Act, 28 of 2014</w:t>
      </w:r>
      <w:r w:rsidRPr="00DF441C">
        <w:rPr>
          <w:rFonts w:ascii="Helvetica" w:hAnsi="Helvetica" w:cs="Helvetica"/>
          <w:i/>
          <w:iCs/>
          <w:lang w:val="en-ZA"/>
        </w:rPr>
        <w:t>.</w:t>
      </w:r>
    </w:p>
    <w:p w:rsidR="00031452" w:rsidRPr="00031452" w:rsidRDefault="00031452" w:rsidP="00031452">
      <w:pPr>
        <w:pStyle w:val="ListParagraph"/>
        <w:rPr>
          <w:rFonts w:ascii="Helvetica" w:hAnsi="Helvetica" w:cs="Helvetica"/>
          <w:lang w:val="en-ZA"/>
        </w:rPr>
      </w:pPr>
    </w:p>
    <w:p w:rsidR="00031452" w:rsidRPr="00DF441C" w:rsidRDefault="00031452" w:rsidP="00031452">
      <w:pPr>
        <w:pStyle w:val="ListParagraph"/>
        <w:spacing w:after="0" w:line="240" w:lineRule="auto"/>
        <w:jc w:val="both"/>
        <w:rPr>
          <w:rFonts w:ascii="Helvetica" w:hAnsi="Helvetica" w:cs="Helvetica"/>
          <w:lang w:val="en-ZA"/>
        </w:rPr>
      </w:pPr>
    </w:p>
    <w:p w:rsidR="00DF441C" w:rsidRPr="00DF441C" w:rsidRDefault="00DF441C" w:rsidP="00DF441C">
      <w:pPr>
        <w:pStyle w:val="ListParagraph"/>
        <w:spacing w:after="0" w:line="240" w:lineRule="auto"/>
        <w:ind w:left="2160"/>
        <w:rPr>
          <w:rFonts w:ascii="Helvetica" w:hAnsi="Helvetica" w:cs="Helvetica"/>
          <w:lang w:val="en-ZA"/>
        </w:rPr>
      </w:pPr>
    </w:p>
    <w:p w:rsidR="00035AE1" w:rsidRPr="00DF441C" w:rsidRDefault="00035AE1" w:rsidP="00DF4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lastRenderedPageBreak/>
        <w:t xml:space="preserve">The </w:t>
      </w:r>
      <w:r w:rsidR="00610C60" w:rsidRPr="00DF441C">
        <w:rPr>
          <w:rFonts w:ascii="Helvetica" w:hAnsi="Helvetica" w:cs="Helvetica"/>
        </w:rPr>
        <w:t xml:space="preserve">AFF </w:t>
      </w:r>
      <w:r w:rsidR="00DF441C" w:rsidRPr="00DF441C">
        <w:rPr>
          <w:rFonts w:ascii="Helvetica" w:hAnsi="Helvetica" w:cs="Helvetica"/>
        </w:rPr>
        <w:t>is in</w:t>
      </w:r>
      <w:r w:rsidRPr="00DF441C">
        <w:rPr>
          <w:rFonts w:ascii="Helvetica" w:hAnsi="Helvetica" w:cs="Helvetica"/>
        </w:rPr>
        <w:t xml:space="preserve"> </w:t>
      </w:r>
      <w:r w:rsidR="003F182E" w:rsidRPr="00DF441C">
        <w:rPr>
          <w:rFonts w:ascii="Helvetica" w:hAnsi="Helvetica" w:cs="Helvetica"/>
        </w:rPr>
        <w:t xml:space="preserve">the </w:t>
      </w:r>
      <w:r w:rsidRPr="00DF441C">
        <w:rPr>
          <w:rFonts w:ascii="Helvetica" w:hAnsi="Helvetica" w:cs="Helvetica"/>
        </w:rPr>
        <w:t>process of signing a Banking Arrangement</w:t>
      </w:r>
      <w:r w:rsidR="00FF001E" w:rsidRPr="00DF441C">
        <w:rPr>
          <w:rFonts w:ascii="Helvetica" w:hAnsi="Helvetica" w:cs="Helvetica"/>
        </w:rPr>
        <w:t>,</w:t>
      </w:r>
      <w:r w:rsidRPr="00DF441C">
        <w:rPr>
          <w:rFonts w:ascii="Helvetica" w:hAnsi="Helvetica" w:cs="Helvetica"/>
        </w:rPr>
        <w:t xml:space="preserve"> in terms of section 63(1)(g) of the LPA</w:t>
      </w:r>
      <w:r w:rsidR="00FF001E" w:rsidRPr="00DF441C">
        <w:rPr>
          <w:rFonts w:ascii="Helvetica" w:hAnsi="Helvetica" w:cs="Helvetica"/>
        </w:rPr>
        <w:t xml:space="preserve">, </w:t>
      </w:r>
      <w:r w:rsidR="00AD138A" w:rsidRPr="00DF441C">
        <w:rPr>
          <w:rFonts w:ascii="Helvetica" w:hAnsi="Helvetica" w:cs="Helvetica"/>
        </w:rPr>
        <w:t xml:space="preserve">with the </w:t>
      </w:r>
      <w:r w:rsidR="00FF001E" w:rsidRPr="00DF441C">
        <w:rPr>
          <w:rFonts w:ascii="Helvetica" w:hAnsi="Helvetica" w:cs="Helvetica"/>
        </w:rPr>
        <w:t xml:space="preserve">following </w:t>
      </w:r>
      <w:r w:rsidR="00DF441C" w:rsidRPr="00DF441C">
        <w:rPr>
          <w:rFonts w:ascii="Helvetica" w:hAnsi="Helvetica" w:cs="Helvetica"/>
        </w:rPr>
        <w:t>banks:</w:t>
      </w:r>
    </w:p>
    <w:p w:rsidR="00035AE1" w:rsidRDefault="00035AE1" w:rsidP="00DF441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ABSA</w:t>
      </w:r>
    </w:p>
    <w:p w:rsidR="00151CAC" w:rsidRPr="00DF441C" w:rsidRDefault="00151CAC" w:rsidP="00151CAC">
      <w:pPr>
        <w:pStyle w:val="ListParagraph"/>
        <w:numPr>
          <w:ilvl w:val="1"/>
          <w:numId w:val="2"/>
        </w:numPr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Albaraka </w:t>
      </w:r>
      <w:r w:rsidR="009F6398">
        <w:rPr>
          <w:rFonts w:ascii="Helvetica" w:hAnsi="Helvetica" w:cs="Helvetica"/>
        </w:rPr>
        <w:t>B</w:t>
      </w:r>
      <w:r>
        <w:rPr>
          <w:rFonts w:ascii="Helvetica" w:hAnsi="Helvetica" w:cs="Helvetica"/>
        </w:rPr>
        <w:t>ank</w:t>
      </w:r>
    </w:p>
    <w:p w:rsidR="00035AE1" w:rsidRPr="00DF441C" w:rsidRDefault="00035AE1" w:rsidP="00DF441C">
      <w:pPr>
        <w:pStyle w:val="ListParagraph"/>
        <w:numPr>
          <w:ilvl w:val="1"/>
          <w:numId w:val="2"/>
        </w:numPr>
        <w:spacing w:after="0" w:line="240" w:lineRule="auto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FNB</w:t>
      </w:r>
    </w:p>
    <w:p w:rsidR="00035AE1" w:rsidRPr="00DF441C" w:rsidRDefault="00035AE1" w:rsidP="00DF441C">
      <w:pPr>
        <w:pStyle w:val="ListParagraph"/>
        <w:numPr>
          <w:ilvl w:val="1"/>
          <w:numId w:val="2"/>
        </w:numPr>
        <w:spacing w:after="0" w:line="240" w:lineRule="auto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Grindrod</w:t>
      </w:r>
      <w:r w:rsidR="00532EF0" w:rsidRPr="00DF441C">
        <w:rPr>
          <w:rFonts w:ascii="Helvetica" w:hAnsi="Helvetica" w:cs="Helvetica"/>
        </w:rPr>
        <w:t xml:space="preserve"> Bank</w:t>
      </w:r>
    </w:p>
    <w:bookmarkEnd w:id="0"/>
    <w:p w:rsidR="00035AE1" w:rsidRPr="00DF441C" w:rsidRDefault="00035AE1" w:rsidP="00DF441C">
      <w:pPr>
        <w:pStyle w:val="ListParagraph"/>
        <w:numPr>
          <w:ilvl w:val="1"/>
          <w:numId w:val="2"/>
        </w:numPr>
        <w:spacing w:after="0" w:line="240" w:lineRule="auto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HBZ</w:t>
      </w:r>
      <w:r w:rsidR="00532EF0" w:rsidRPr="00DF441C">
        <w:rPr>
          <w:rFonts w:ascii="Helvetica" w:hAnsi="Helvetica" w:cs="Helvetica"/>
        </w:rPr>
        <w:t xml:space="preserve"> Bank</w:t>
      </w:r>
    </w:p>
    <w:p w:rsidR="00035AE1" w:rsidRPr="00DF441C" w:rsidRDefault="00035AE1" w:rsidP="00DF441C">
      <w:pPr>
        <w:pStyle w:val="ListParagraph"/>
        <w:numPr>
          <w:ilvl w:val="1"/>
          <w:numId w:val="2"/>
        </w:numPr>
        <w:spacing w:after="0" w:line="240" w:lineRule="auto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Investec</w:t>
      </w:r>
      <w:r w:rsidR="00497C36" w:rsidRPr="00DF441C">
        <w:rPr>
          <w:rFonts w:ascii="Helvetica" w:hAnsi="Helvetica" w:cs="Helvetica"/>
        </w:rPr>
        <w:t xml:space="preserve"> Bank</w:t>
      </w:r>
    </w:p>
    <w:p w:rsidR="00C0708E" w:rsidRPr="00DF441C" w:rsidRDefault="00C0708E" w:rsidP="00DF441C">
      <w:pPr>
        <w:pStyle w:val="ListParagraph"/>
        <w:numPr>
          <w:ilvl w:val="1"/>
          <w:numId w:val="2"/>
        </w:numPr>
        <w:spacing w:after="0" w:line="240" w:lineRule="auto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Mercantile Bank</w:t>
      </w:r>
    </w:p>
    <w:p w:rsidR="00035AE1" w:rsidRPr="00DF441C" w:rsidRDefault="00035AE1" w:rsidP="00DF441C">
      <w:pPr>
        <w:pStyle w:val="ListParagraph"/>
        <w:numPr>
          <w:ilvl w:val="1"/>
          <w:numId w:val="2"/>
        </w:numPr>
        <w:spacing w:after="0" w:line="240" w:lineRule="auto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Nedbank</w:t>
      </w:r>
    </w:p>
    <w:p w:rsidR="00035AE1" w:rsidRDefault="00035AE1" w:rsidP="00DF441C">
      <w:pPr>
        <w:pStyle w:val="ListParagraph"/>
        <w:numPr>
          <w:ilvl w:val="1"/>
          <w:numId w:val="2"/>
        </w:numPr>
        <w:spacing w:after="0" w:line="240" w:lineRule="auto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Standard Bank</w:t>
      </w:r>
    </w:p>
    <w:p w:rsidR="00DF441C" w:rsidRPr="00DF441C" w:rsidRDefault="00DF441C" w:rsidP="00DF441C">
      <w:pPr>
        <w:pStyle w:val="ListParagraph"/>
        <w:spacing w:after="0" w:line="240" w:lineRule="auto"/>
        <w:ind w:left="1440"/>
        <w:rPr>
          <w:rFonts w:ascii="Helvetica" w:hAnsi="Helvetica" w:cs="Helvetica"/>
        </w:rPr>
      </w:pPr>
    </w:p>
    <w:p w:rsidR="00035AE1" w:rsidRPr="00DF441C" w:rsidRDefault="00035AE1" w:rsidP="00DF4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With effect from 1 March 2019</w:t>
      </w:r>
      <w:r w:rsidR="003F182E" w:rsidRPr="00DF441C">
        <w:rPr>
          <w:rFonts w:ascii="Helvetica" w:hAnsi="Helvetica" w:cs="Helvetica"/>
        </w:rPr>
        <w:t>,</w:t>
      </w:r>
      <w:r w:rsidRPr="00DF441C">
        <w:rPr>
          <w:rFonts w:ascii="Helvetica" w:hAnsi="Helvetica" w:cs="Helvetica"/>
        </w:rPr>
        <w:t xml:space="preserve"> the </w:t>
      </w:r>
      <w:r w:rsidR="00ED1BA5" w:rsidRPr="00DF441C">
        <w:rPr>
          <w:rFonts w:ascii="Helvetica" w:hAnsi="Helvetica" w:cs="Helvetica"/>
        </w:rPr>
        <w:t>b</w:t>
      </w:r>
      <w:r w:rsidRPr="00DF441C">
        <w:rPr>
          <w:rFonts w:ascii="Helvetica" w:hAnsi="Helvetica" w:cs="Helvetica"/>
        </w:rPr>
        <w:t xml:space="preserve">anks that have entered into a banking arrangement as above will automatically sweep the 5% of </w:t>
      </w:r>
      <w:r w:rsidR="00ED1BA5" w:rsidRPr="00DF441C">
        <w:rPr>
          <w:rFonts w:ascii="Helvetica" w:hAnsi="Helvetica" w:cs="Helvetica"/>
        </w:rPr>
        <w:t xml:space="preserve">trust </w:t>
      </w:r>
      <w:r w:rsidRPr="00DF441C">
        <w:rPr>
          <w:rFonts w:ascii="Helvetica" w:hAnsi="Helvetica" w:cs="Helvetica"/>
        </w:rPr>
        <w:t>interest earned on section 86(4) trust investments in terms of section 86(5) to the LPFF</w:t>
      </w:r>
      <w:r w:rsidR="00AD138A" w:rsidRPr="00DF441C">
        <w:rPr>
          <w:rFonts w:ascii="Helvetica" w:hAnsi="Helvetica" w:cs="Helvetica"/>
        </w:rPr>
        <w:t xml:space="preserve"> bank account</w:t>
      </w:r>
      <w:r w:rsidR="009942B4" w:rsidRPr="00DF441C">
        <w:rPr>
          <w:rFonts w:ascii="Helvetica" w:hAnsi="Helvetica" w:cs="Helvetica"/>
        </w:rPr>
        <w:t>.</w:t>
      </w:r>
    </w:p>
    <w:p w:rsidR="00DF441C" w:rsidRPr="00DF441C" w:rsidRDefault="00DF441C" w:rsidP="00DF441C">
      <w:pPr>
        <w:pStyle w:val="ListParagraph"/>
        <w:spacing w:after="0" w:line="240" w:lineRule="auto"/>
        <w:jc w:val="both"/>
        <w:rPr>
          <w:rFonts w:ascii="Helvetica" w:hAnsi="Helvetica" w:cs="Helvetica"/>
        </w:rPr>
      </w:pPr>
    </w:p>
    <w:p w:rsidR="00035AE1" w:rsidRPr="00DF441C" w:rsidRDefault="00035AE1" w:rsidP="00DF4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 xml:space="preserve">In terms of </w:t>
      </w:r>
      <w:r w:rsidR="004C5D68">
        <w:rPr>
          <w:rFonts w:ascii="Helvetica" w:hAnsi="Helvetica" w:cs="Helvetica"/>
        </w:rPr>
        <w:t>S</w:t>
      </w:r>
      <w:r w:rsidRPr="00DF441C">
        <w:rPr>
          <w:rFonts w:ascii="Helvetica" w:hAnsi="Helvetica" w:cs="Helvetica"/>
        </w:rPr>
        <w:t xml:space="preserve">ection 86(6), a legal practitioner referred to in </w:t>
      </w:r>
      <w:r w:rsidR="004C5D68">
        <w:rPr>
          <w:rFonts w:ascii="Helvetica" w:hAnsi="Helvetica" w:cs="Helvetica"/>
        </w:rPr>
        <w:t>S</w:t>
      </w:r>
      <w:r w:rsidRPr="00DF441C">
        <w:rPr>
          <w:rFonts w:ascii="Helvetica" w:hAnsi="Helvetica" w:cs="Helvetica"/>
        </w:rPr>
        <w:t xml:space="preserve">ection 84(1) may not deposit money in terms of section 86(2) nor invest money in terms of </w:t>
      </w:r>
      <w:r w:rsidR="004C5D68">
        <w:rPr>
          <w:rFonts w:ascii="Helvetica" w:hAnsi="Helvetica" w:cs="Helvetica"/>
        </w:rPr>
        <w:t>S</w:t>
      </w:r>
      <w:r w:rsidRPr="00DF441C">
        <w:rPr>
          <w:rFonts w:ascii="Helvetica" w:hAnsi="Helvetica" w:cs="Helvetica"/>
        </w:rPr>
        <w:t xml:space="preserve">ection 86(3) and (4) in accounts held at a bank which is not party to an arrangement as </w:t>
      </w:r>
      <w:r w:rsidR="00497C36" w:rsidRPr="00DF441C">
        <w:rPr>
          <w:rFonts w:ascii="Helvetica" w:hAnsi="Helvetica" w:cs="Helvetica"/>
        </w:rPr>
        <w:t>provided for</w:t>
      </w:r>
      <w:r w:rsidRPr="00DF441C">
        <w:rPr>
          <w:rFonts w:ascii="Helvetica" w:hAnsi="Helvetica" w:cs="Helvetica"/>
        </w:rPr>
        <w:t xml:space="preserve"> in </w:t>
      </w:r>
      <w:r w:rsidR="004C5D68">
        <w:rPr>
          <w:rFonts w:ascii="Helvetica" w:hAnsi="Helvetica" w:cs="Helvetica"/>
        </w:rPr>
        <w:t>S</w:t>
      </w:r>
      <w:r w:rsidRPr="00DF441C">
        <w:rPr>
          <w:rFonts w:ascii="Helvetica" w:hAnsi="Helvetica" w:cs="Helvetica"/>
        </w:rPr>
        <w:t>ection 63(1)(g), unless prior written consent of the LPFF has been obtained</w:t>
      </w:r>
      <w:r w:rsidR="003F182E" w:rsidRPr="00DF441C">
        <w:rPr>
          <w:rFonts w:ascii="Helvetica" w:hAnsi="Helvetica" w:cs="Helvetica"/>
        </w:rPr>
        <w:t>.</w:t>
      </w:r>
    </w:p>
    <w:p w:rsidR="00DF441C" w:rsidRPr="00DF441C" w:rsidRDefault="00DF441C" w:rsidP="00DF441C">
      <w:pPr>
        <w:pStyle w:val="ListParagraph"/>
        <w:spacing w:after="0" w:line="240" w:lineRule="auto"/>
        <w:jc w:val="both"/>
        <w:rPr>
          <w:rFonts w:ascii="Helvetica" w:hAnsi="Helvetica" w:cs="Helvetica"/>
        </w:rPr>
      </w:pPr>
    </w:p>
    <w:p w:rsidR="00035AE1" w:rsidRPr="00DF441C" w:rsidRDefault="00035AE1" w:rsidP="00DF4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 xml:space="preserve">A legal practitioner referred to in </w:t>
      </w:r>
      <w:r w:rsidR="004C5D68">
        <w:rPr>
          <w:rFonts w:ascii="Helvetica" w:hAnsi="Helvetica" w:cs="Helvetica"/>
        </w:rPr>
        <w:t>S</w:t>
      </w:r>
      <w:r w:rsidRPr="00DF441C">
        <w:rPr>
          <w:rFonts w:ascii="Helvetica" w:hAnsi="Helvetica" w:cs="Helvetica"/>
        </w:rPr>
        <w:t xml:space="preserve">ection 84(1) must comply with the terms of an arrangement concluded between </w:t>
      </w:r>
      <w:r w:rsidR="00F11151" w:rsidRPr="00DF441C">
        <w:rPr>
          <w:rFonts w:ascii="Helvetica" w:hAnsi="Helvetica" w:cs="Helvetica"/>
        </w:rPr>
        <w:t xml:space="preserve">the LPFF </w:t>
      </w:r>
      <w:r w:rsidRPr="00DF441C">
        <w:rPr>
          <w:rFonts w:ascii="Helvetica" w:hAnsi="Helvetica" w:cs="Helvetica"/>
        </w:rPr>
        <w:t>a</w:t>
      </w:r>
      <w:r w:rsidR="00F11151" w:rsidRPr="00DF441C">
        <w:rPr>
          <w:rFonts w:ascii="Helvetica" w:hAnsi="Helvetica" w:cs="Helvetica"/>
        </w:rPr>
        <w:t xml:space="preserve">nd a </w:t>
      </w:r>
      <w:r w:rsidRPr="00DF441C">
        <w:rPr>
          <w:rFonts w:ascii="Helvetica" w:hAnsi="Helvetica" w:cs="Helvetica"/>
        </w:rPr>
        <w:t xml:space="preserve">bank as provided for in section 63(1) </w:t>
      </w:r>
      <w:r w:rsidR="009942B4" w:rsidRPr="00DF441C">
        <w:rPr>
          <w:rFonts w:ascii="Helvetica" w:hAnsi="Helvetica" w:cs="Helvetica"/>
        </w:rPr>
        <w:t>(</w:t>
      </w:r>
      <w:r w:rsidRPr="00DF441C">
        <w:rPr>
          <w:rFonts w:ascii="Helvetica" w:hAnsi="Helvetica" w:cs="Helvetica"/>
        </w:rPr>
        <w:t>g)</w:t>
      </w:r>
      <w:r w:rsidR="009942B4" w:rsidRPr="00DF441C">
        <w:rPr>
          <w:rFonts w:ascii="Helvetica" w:hAnsi="Helvetica" w:cs="Helvetica"/>
        </w:rPr>
        <w:t>.</w:t>
      </w:r>
    </w:p>
    <w:p w:rsidR="00DF441C" w:rsidRPr="00DF441C" w:rsidRDefault="00DF441C" w:rsidP="00DF441C">
      <w:pPr>
        <w:pStyle w:val="ListParagraph"/>
        <w:spacing w:after="0" w:line="240" w:lineRule="auto"/>
        <w:jc w:val="both"/>
        <w:rPr>
          <w:rFonts w:ascii="Helvetica" w:hAnsi="Helvetica" w:cs="Helvetica"/>
        </w:rPr>
      </w:pPr>
    </w:p>
    <w:p w:rsidR="00DF441C" w:rsidRPr="00DF441C" w:rsidRDefault="00035AE1" w:rsidP="00DF4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 xml:space="preserve">The </w:t>
      </w:r>
      <w:r w:rsidR="001C6F49" w:rsidRPr="00DF441C">
        <w:rPr>
          <w:rFonts w:ascii="Helvetica" w:hAnsi="Helvetica" w:cs="Helvetica"/>
        </w:rPr>
        <w:t>b</w:t>
      </w:r>
      <w:r w:rsidRPr="00DF441C">
        <w:rPr>
          <w:rFonts w:ascii="Helvetica" w:hAnsi="Helvetica" w:cs="Helvetica"/>
        </w:rPr>
        <w:t>anks will be communicating with their practitioner clients directly in terms of how they will be accounting for and reporting on the 5% interest paid over to the LPFF</w:t>
      </w:r>
      <w:r w:rsidR="009942B4" w:rsidRPr="00DF441C">
        <w:rPr>
          <w:rFonts w:ascii="Helvetica" w:hAnsi="Helvetica" w:cs="Helvetica"/>
        </w:rPr>
        <w:t>.</w:t>
      </w:r>
    </w:p>
    <w:p w:rsidR="00DF441C" w:rsidRPr="00DF441C" w:rsidRDefault="00DF441C" w:rsidP="00DF441C">
      <w:pPr>
        <w:jc w:val="both"/>
        <w:rPr>
          <w:rFonts w:ascii="Helvetica" w:hAnsi="Helvetica" w:cs="Helvetica"/>
        </w:rPr>
      </w:pPr>
    </w:p>
    <w:p w:rsidR="00035AE1" w:rsidRPr="00DF441C" w:rsidRDefault="00835B62" w:rsidP="00DF4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The banks will be required by the South African Revenue Services (SARS) to issue an IT3b tax certificate to the legal practitioner or the legal practitioner's client for the 95% interest earned on any separate section 86(4) trust savings or other interest-bearing account.</w:t>
      </w:r>
      <w:r w:rsidR="00304068" w:rsidRPr="00DF441C">
        <w:rPr>
          <w:rFonts w:ascii="Helvetica" w:hAnsi="Helvetica" w:cs="Helvetica"/>
        </w:rPr>
        <w:t xml:space="preserve"> </w:t>
      </w:r>
      <w:r w:rsidR="003F182E" w:rsidRPr="00DF441C">
        <w:rPr>
          <w:rFonts w:ascii="Helvetica" w:hAnsi="Helvetica" w:cs="Helvetica"/>
        </w:rPr>
        <w:t>For example,</w:t>
      </w:r>
      <w:r w:rsidR="00035AE1" w:rsidRPr="00DF441C">
        <w:rPr>
          <w:rFonts w:ascii="Helvetica" w:hAnsi="Helvetica" w:cs="Helvetica"/>
        </w:rPr>
        <w:t xml:space="preserve"> if the interest for the month is R100</w:t>
      </w:r>
      <w:r w:rsidR="003F182E" w:rsidRPr="00DF441C">
        <w:rPr>
          <w:rFonts w:ascii="Helvetica" w:hAnsi="Helvetica" w:cs="Helvetica"/>
        </w:rPr>
        <w:t>, then</w:t>
      </w:r>
      <w:r w:rsidR="00035AE1" w:rsidRPr="00DF441C">
        <w:rPr>
          <w:rFonts w:ascii="Helvetica" w:hAnsi="Helvetica" w:cs="Helvetica"/>
        </w:rPr>
        <w:t xml:space="preserve"> the IT3b will be issued for R95</w:t>
      </w:r>
      <w:r w:rsidR="003F182E" w:rsidRPr="00DF441C">
        <w:rPr>
          <w:rFonts w:ascii="Helvetica" w:hAnsi="Helvetica" w:cs="Helvetica"/>
        </w:rPr>
        <w:t>.</w:t>
      </w:r>
    </w:p>
    <w:p w:rsidR="00DF441C" w:rsidRPr="00DF441C" w:rsidRDefault="00DF441C" w:rsidP="00DF441C">
      <w:pPr>
        <w:pStyle w:val="ListParagraph"/>
        <w:spacing w:after="0" w:line="240" w:lineRule="auto"/>
        <w:jc w:val="both"/>
        <w:rPr>
          <w:rFonts w:ascii="Helvetica" w:hAnsi="Helvetica" w:cs="Helvetica"/>
        </w:rPr>
      </w:pPr>
    </w:p>
    <w:p w:rsidR="00035AE1" w:rsidRPr="00DF441C" w:rsidRDefault="00035AE1" w:rsidP="00DF44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 xml:space="preserve">The bank will issue an IT3b to the LPFF for 5% of </w:t>
      </w:r>
      <w:r w:rsidR="00212919" w:rsidRPr="00DF441C">
        <w:rPr>
          <w:rFonts w:ascii="Helvetica" w:hAnsi="Helvetica" w:cs="Helvetica"/>
        </w:rPr>
        <w:t xml:space="preserve">the </w:t>
      </w:r>
      <w:r w:rsidRPr="00DF441C">
        <w:rPr>
          <w:rFonts w:ascii="Helvetica" w:hAnsi="Helvetica" w:cs="Helvetica"/>
        </w:rPr>
        <w:t>interest earned in the section 86(4) account</w:t>
      </w:r>
      <w:r w:rsidR="003F182E" w:rsidRPr="00DF441C">
        <w:rPr>
          <w:rFonts w:ascii="Helvetica" w:hAnsi="Helvetica" w:cs="Helvetica"/>
        </w:rPr>
        <w:t>. For example,</w:t>
      </w:r>
      <w:r w:rsidRPr="00DF441C">
        <w:rPr>
          <w:rFonts w:ascii="Helvetica" w:hAnsi="Helvetica" w:cs="Helvetica"/>
        </w:rPr>
        <w:t xml:space="preserve"> if the interest for the month is R100</w:t>
      </w:r>
      <w:r w:rsidR="003F182E" w:rsidRPr="00DF441C">
        <w:rPr>
          <w:rFonts w:ascii="Helvetica" w:hAnsi="Helvetica" w:cs="Helvetica"/>
        </w:rPr>
        <w:t>, then</w:t>
      </w:r>
      <w:r w:rsidRPr="00DF441C">
        <w:rPr>
          <w:rFonts w:ascii="Helvetica" w:hAnsi="Helvetica" w:cs="Helvetica"/>
        </w:rPr>
        <w:t xml:space="preserve"> the IT3b will be issued for R5</w:t>
      </w:r>
      <w:r w:rsidR="00212919" w:rsidRPr="00DF441C">
        <w:rPr>
          <w:rFonts w:ascii="Helvetica" w:hAnsi="Helvetica" w:cs="Helvetica"/>
        </w:rPr>
        <w:t>.</w:t>
      </w:r>
    </w:p>
    <w:p w:rsidR="009A19AE" w:rsidRPr="00DF441C" w:rsidRDefault="009A19AE" w:rsidP="00DF441C">
      <w:pPr>
        <w:pStyle w:val="ListParagraph"/>
        <w:spacing w:after="0" w:line="240" w:lineRule="auto"/>
        <w:jc w:val="both"/>
        <w:rPr>
          <w:rFonts w:ascii="Helvetica" w:hAnsi="Helvetica" w:cs="Helvetica"/>
        </w:rPr>
      </w:pPr>
    </w:p>
    <w:p w:rsidR="009942B4" w:rsidRPr="00DF441C" w:rsidRDefault="00497C36" w:rsidP="00DF441C">
      <w:pPr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 xml:space="preserve">We encourage you </w:t>
      </w:r>
      <w:r w:rsidR="00A501E9" w:rsidRPr="00DF441C">
        <w:rPr>
          <w:rFonts w:ascii="Helvetica" w:hAnsi="Helvetica" w:cs="Helvetica"/>
        </w:rPr>
        <w:t xml:space="preserve">to </w:t>
      </w:r>
      <w:r w:rsidR="00525AAF" w:rsidRPr="00DF441C">
        <w:rPr>
          <w:rFonts w:ascii="Helvetica" w:hAnsi="Helvetica" w:cs="Helvetica"/>
        </w:rPr>
        <w:t>visit the LSSA website to get an update on the workings of the National Forum and the latest update on the LPA using the following URL:</w:t>
      </w:r>
    </w:p>
    <w:p w:rsidR="00525AAF" w:rsidRPr="00DF441C" w:rsidRDefault="000C0E22" w:rsidP="00DF441C">
      <w:pPr>
        <w:pStyle w:val="CommentText"/>
        <w:jc w:val="both"/>
        <w:rPr>
          <w:rFonts w:ascii="Helvetica" w:hAnsi="Helvetica" w:cs="Helvetica"/>
          <w:sz w:val="22"/>
          <w:szCs w:val="22"/>
        </w:rPr>
      </w:pPr>
      <w:hyperlink r:id="rId8" w:history="1">
        <w:r w:rsidR="00525AAF" w:rsidRPr="00DF441C">
          <w:rPr>
            <w:rStyle w:val="Hyperlink"/>
            <w:rFonts w:ascii="Helvetica" w:hAnsi="Helvetica" w:cs="Helvetica"/>
            <w:sz w:val="22"/>
            <w:szCs w:val="22"/>
          </w:rPr>
          <w:t>http://www.lssa.org.za/legal-practitioners/advisories/misc/legal-practice-act-28-of-2014/misc/legal-practice-act</w:t>
        </w:r>
      </w:hyperlink>
    </w:p>
    <w:p w:rsidR="00525AAF" w:rsidRPr="00DF441C" w:rsidRDefault="00525AAF" w:rsidP="00DF441C">
      <w:pPr>
        <w:pStyle w:val="CommentText"/>
        <w:jc w:val="both"/>
        <w:rPr>
          <w:rFonts w:ascii="Helvetica" w:hAnsi="Helvetica" w:cs="Helvetica"/>
          <w:sz w:val="22"/>
          <w:szCs w:val="22"/>
        </w:rPr>
      </w:pPr>
    </w:p>
    <w:p w:rsidR="00E72A5E" w:rsidRPr="00DF441C" w:rsidRDefault="009942B4" w:rsidP="00DF441C">
      <w:pPr>
        <w:jc w:val="both"/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 xml:space="preserve">Should you have any queries </w:t>
      </w:r>
      <w:r w:rsidR="00E72A5E" w:rsidRPr="00DF441C">
        <w:rPr>
          <w:rFonts w:ascii="Helvetica" w:hAnsi="Helvetica" w:cs="Helvetica"/>
        </w:rPr>
        <w:t xml:space="preserve">on how your bank will be handling the implementation of section 86 of the LPA, </w:t>
      </w:r>
      <w:r w:rsidR="00DF441C">
        <w:rPr>
          <w:rFonts w:ascii="Helvetica" w:hAnsi="Helvetica" w:cs="Helvetica"/>
        </w:rPr>
        <w:t xml:space="preserve">please </w:t>
      </w:r>
      <w:r w:rsidR="00DF441C" w:rsidRPr="00DF441C">
        <w:rPr>
          <w:rFonts w:ascii="Helvetica" w:hAnsi="Helvetica" w:cs="Helvetica"/>
        </w:rPr>
        <w:t>contact</w:t>
      </w:r>
      <w:r w:rsidR="00E72A5E" w:rsidRPr="00DF441C">
        <w:rPr>
          <w:rFonts w:ascii="Helvetica" w:hAnsi="Helvetica" w:cs="Helvetica"/>
        </w:rPr>
        <w:t xml:space="preserve"> your dedicated banker.</w:t>
      </w:r>
    </w:p>
    <w:p w:rsidR="00E72A5E" w:rsidRPr="00DF441C" w:rsidRDefault="00E72A5E" w:rsidP="00DF441C">
      <w:pPr>
        <w:rPr>
          <w:rFonts w:ascii="Helvetica" w:hAnsi="Helvetica" w:cs="Helvetica"/>
        </w:rPr>
      </w:pPr>
    </w:p>
    <w:p w:rsidR="00F72F84" w:rsidRPr="00DF441C" w:rsidRDefault="00F72F84" w:rsidP="00DF441C">
      <w:pPr>
        <w:rPr>
          <w:rFonts w:ascii="Helvetica" w:hAnsi="Helvetica" w:cs="Helvetica"/>
        </w:rPr>
      </w:pPr>
    </w:p>
    <w:p w:rsidR="00DD2E1C" w:rsidRDefault="00DD2E1C" w:rsidP="00DF441C">
      <w:pPr>
        <w:rPr>
          <w:rFonts w:ascii="Helvetica" w:hAnsi="Helvetica" w:cs="Helvetica"/>
        </w:rPr>
      </w:pPr>
    </w:p>
    <w:p w:rsidR="009662FE" w:rsidRPr="00DF441C" w:rsidRDefault="00F72F84" w:rsidP="00DF441C">
      <w:pPr>
        <w:rPr>
          <w:rFonts w:ascii="Helvetica" w:hAnsi="Helvetica" w:cs="Helvetica"/>
        </w:rPr>
      </w:pPr>
      <w:r w:rsidRPr="00DF441C">
        <w:rPr>
          <w:rFonts w:ascii="Helvetica" w:hAnsi="Helvetica" w:cs="Helvetica"/>
        </w:rPr>
        <w:t>Robert Burawundi</w:t>
      </w:r>
    </w:p>
    <w:p w:rsidR="00F72F84" w:rsidRPr="00F72F84" w:rsidRDefault="00F72F84">
      <w:pPr>
        <w:rPr>
          <w:b/>
          <w:sz w:val="28"/>
          <w:szCs w:val="28"/>
        </w:rPr>
      </w:pPr>
      <w:r w:rsidRPr="00DF441C">
        <w:rPr>
          <w:rFonts w:ascii="Helvetica" w:hAnsi="Helvetica" w:cs="Helvetica"/>
        </w:rPr>
        <w:t>Investment Executive</w:t>
      </w:r>
    </w:p>
    <w:sectPr w:rsidR="00F72F84" w:rsidRPr="00F72F8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CB6" w:rsidRDefault="00422CB6" w:rsidP="00F72F84">
      <w:r>
        <w:separator/>
      </w:r>
    </w:p>
  </w:endnote>
  <w:endnote w:type="continuationSeparator" w:id="0">
    <w:p w:rsidR="00422CB6" w:rsidRDefault="00422CB6" w:rsidP="00F7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65" w:rsidRDefault="00355965">
    <w:pPr>
      <w:pStyle w:val="Footer"/>
    </w:pPr>
    <w:r w:rsidRPr="000165FE">
      <w:rPr>
        <w:b/>
        <w:sz w:val="24"/>
        <w:szCs w:val="24"/>
      </w:rPr>
      <w:t xml:space="preserve">Issued </w:t>
    </w:r>
    <w:r w:rsidR="00A74F09">
      <w:rPr>
        <w:b/>
        <w:sz w:val="24"/>
        <w:szCs w:val="24"/>
      </w:rPr>
      <w:t>4</w:t>
    </w:r>
    <w:r w:rsidR="0014181D">
      <w:rPr>
        <w:b/>
        <w:sz w:val="24"/>
        <w:szCs w:val="24"/>
      </w:rPr>
      <w:t xml:space="preserve"> October</w:t>
    </w:r>
    <w:r w:rsidRPr="000165FE">
      <w:rPr>
        <w:b/>
        <w:sz w:val="24"/>
        <w:szCs w:val="24"/>
      </w:rPr>
      <w:t xml:space="preserve"> 2018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CB6" w:rsidRDefault="00422CB6" w:rsidP="00F72F84">
      <w:r>
        <w:separator/>
      </w:r>
    </w:p>
  </w:footnote>
  <w:footnote w:type="continuationSeparator" w:id="0">
    <w:p w:rsidR="00422CB6" w:rsidRDefault="00422CB6" w:rsidP="00F7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378"/>
    <w:multiLevelType w:val="hybridMultilevel"/>
    <w:tmpl w:val="9292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95A8B"/>
    <w:multiLevelType w:val="hybridMultilevel"/>
    <w:tmpl w:val="2DD6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1027"/>
    <w:multiLevelType w:val="multilevel"/>
    <w:tmpl w:val="B0DC5E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numFmt w:val="bullet"/>
      <w:lvlText w:val="-"/>
      <w:lvlJc w:val="left"/>
      <w:pPr>
        <w:ind w:left="1728" w:hanging="648"/>
      </w:pPr>
      <w:rPr>
        <w:rFonts w:ascii="Calibri Light" w:eastAsia="Times New Roman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E1"/>
    <w:rsid w:val="000165FE"/>
    <w:rsid w:val="00031452"/>
    <w:rsid w:val="00035AE1"/>
    <w:rsid w:val="00036241"/>
    <w:rsid w:val="0005455D"/>
    <w:rsid w:val="00071D9A"/>
    <w:rsid w:val="00081568"/>
    <w:rsid w:val="000A0A61"/>
    <w:rsid w:val="000C0E22"/>
    <w:rsid w:val="0014181D"/>
    <w:rsid w:val="00151CAC"/>
    <w:rsid w:val="0016629D"/>
    <w:rsid w:val="001C38DC"/>
    <w:rsid w:val="001C6F49"/>
    <w:rsid w:val="001D2FF4"/>
    <w:rsid w:val="001F09FC"/>
    <w:rsid w:val="001F4885"/>
    <w:rsid w:val="001F7CBA"/>
    <w:rsid w:val="00212919"/>
    <w:rsid w:val="002211DE"/>
    <w:rsid w:val="0025066C"/>
    <w:rsid w:val="002A4C86"/>
    <w:rsid w:val="002B0B7A"/>
    <w:rsid w:val="002B32DF"/>
    <w:rsid w:val="002E5EDF"/>
    <w:rsid w:val="002F1458"/>
    <w:rsid w:val="00304068"/>
    <w:rsid w:val="00304C76"/>
    <w:rsid w:val="00326E79"/>
    <w:rsid w:val="00354B2F"/>
    <w:rsid w:val="00355965"/>
    <w:rsid w:val="00386946"/>
    <w:rsid w:val="003B427A"/>
    <w:rsid w:val="003D3827"/>
    <w:rsid w:val="003E5AD2"/>
    <w:rsid w:val="003F0D11"/>
    <w:rsid w:val="003F182E"/>
    <w:rsid w:val="00400A6F"/>
    <w:rsid w:val="004018F2"/>
    <w:rsid w:val="00422CB6"/>
    <w:rsid w:val="00446C85"/>
    <w:rsid w:val="00497C36"/>
    <w:rsid w:val="004A08A2"/>
    <w:rsid w:val="004A6C02"/>
    <w:rsid w:val="004C5D68"/>
    <w:rsid w:val="00525AAF"/>
    <w:rsid w:val="00532EF0"/>
    <w:rsid w:val="00596315"/>
    <w:rsid w:val="00596D8D"/>
    <w:rsid w:val="00597BFA"/>
    <w:rsid w:val="005A4DCC"/>
    <w:rsid w:val="00610C60"/>
    <w:rsid w:val="00624CD1"/>
    <w:rsid w:val="006852FE"/>
    <w:rsid w:val="006E0FC7"/>
    <w:rsid w:val="006E7EAE"/>
    <w:rsid w:val="00702815"/>
    <w:rsid w:val="00707788"/>
    <w:rsid w:val="00717DBC"/>
    <w:rsid w:val="0073700B"/>
    <w:rsid w:val="00775205"/>
    <w:rsid w:val="00791B26"/>
    <w:rsid w:val="007D1B8F"/>
    <w:rsid w:val="007E0008"/>
    <w:rsid w:val="00835B62"/>
    <w:rsid w:val="008365A9"/>
    <w:rsid w:val="008540B7"/>
    <w:rsid w:val="00856478"/>
    <w:rsid w:val="00882E63"/>
    <w:rsid w:val="00923368"/>
    <w:rsid w:val="00937DF1"/>
    <w:rsid w:val="00957548"/>
    <w:rsid w:val="009662FE"/>
    <w:rsid w:val="00966E38"/>
    <w:rsid w:val="009942B4"/>
    <w:rsid w:val="009A19AE"/>
    <w:rsid w:val="009B5C5F"/>
    <w:rsid w:val="009C52F6"/>
    <w:rsid w:val="009E3E1D"/>
    <w:rsid w:val="009E4568"/>
    <w:rsid w:val="009F18B6"/>
    <w:rsid w:val="009F1AEB"/>
    <w:rsid w:val="009F6398"/>
    <w:rsid w:val="00A01031"/>
    <w:rsid w:val="00A501E9"/>
    <w:rsid w:val="00A52EE1"/>
    <w:rsid w:val="00A74F09"/>
    <w:rsid w:val="00A86A70"/>
    <w:rsid w:val="00AA0C7B"/>
    <w:rsid w:val="00AB1683"/>
    <w:rsid w:val="00AC75E8"/>
    <w:rsid w:val="00AD138A"/>
    <w:rsid w:val="00B13EA9"/>
    <w:rsid w:val="00B552CC"/>
    <w:rsid w:val="00B81FDD"/>
    <w:rsid w:val="00B94208"/>
    <w:rsid w:val="00BA5D3C"/>
    <w:rsid w:val="00BD6121"/>
    <w:rsid w:val="00BD6CC3"/>
    <w:rsid w:val="00C06EB6"/>
    <w:rsid w:val="00C0708E"/>
    <w:rsid w:val="00C113CE"/>
    <w:rsid w:val="00C237DF"/>
    <w:rsid w:val="00C52065"/>
    <w:rsid w:val="00C52DED"/>
    <w:rsid w:val="00C63F59"/>
    <w:rsid w:val="00CC4E1B"/>
    <w:rsid w:val="00D16AAE"/>
    <w:rsid w:val="00D51007"/>
    <w:rsid w:val="00D72E0A"/>
    <w:rsid w:val="00DA2B5F"/>
    <w:rsid w:val="00DA53F8"/>
    <w:rsid w:val="00DD1590"/>
    <w:rsid w:val="00DD2E1C"/>
    <w:rsid w:val="00DF441C"/>
    <w:rsid w:val="00DF6889"/>
    <w:rsid w:val="00E16EBE"/>
    <w:rsid w:val="00E403D5"/>
    <w:rsid w:val="00E46B5D"/>
    <w:rsid w:val="00E62470"/>
    <w:rsid w:val="00E72A5E"/>
    <w:rsid w:val="00ED1BA5"/>
    <w:rsid w:val="00EE36EB"/>
    <w:rsid w:val="00F0461F"/>
    <w:rsid w:val="00F06610"/>
    <w:rsid w:val="00F11151"/>
    <w:rsid w:val="00F23070"/>
    <w:rsid w:val="00F72F84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72AB280-302A-4C15-8AEA-7C173BC6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A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35AE1"/>
    <w:pPr>
      <w:spacing w:after="160"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82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82E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066C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1115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F8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2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F8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sa.org.za/legal-practitioners/advisories/misc/legal-practice-act-28-of-2014/misc/legal-practice-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Kayton</dc:creator>
  <cp:keywords/>
  <dc:description/>
  <cp:lastModifiedBy>John De Villiers</cp:lastModifiedBy>
  <cp:revision>2</cp:revision>
  <cp:lastPrinted>2018-10-02T07:15:00Z</cp:lastPrinted>
  <dcterms:created xsi:type="dcterms:W3CDTF">2018-10-10T13:50:00Z</dcterms:created>
  <dcterms:modified xsi:type="dcterms:W3CDTF">2018-10-10T13:50:00Z</dcterms:modified>
</cp:coreProperties>
</file>