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344E06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Johannesburg </w:t>
      </w:r>
      <w:r w:rsidR="00520AF9">
        <w:rPr>
          <w:rFonts w:ascii="Helvetica" w:hAnsi="Helvetica"/>
          <w:sz w:val="24"/>
          <w:szCs w:val="24"/>
        </w:rPr>
        <w:t>West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 xml:space="preserve">from </w:t>
      </w:r>
      <w:r w:rsidR="00520AF9">
        <w:t>44</w:t>
      </w:r>
      <w:r>
        <w:t xml:space="preserve"> firms representing </w:t>
      </w:r>
      <w:r w:rsidR="00520AF9">
        <w:t>55</w:t>
      </w:r>
      <w:r w:rsidR="00137FFA">
        <w:t xml:space="preserve"> </w:t>
      </w:r>
      <w:r>
        <w:t xml:space="preserve">conveyancers and </w:t>
      </w:r>
      <w:r w:rsidR="00520AF9">
        <w:t>125</w:t>
      </w:r>
      <w:r>
        <w:t xml:space="preserve"> conveyancing secretaries.</w:t>
      </w:r>
      <w:r w:rsidR="00E70E78">
        <w:t xml:space="preserve">  The results read as follows:</w:t>
      </w:r>
    </w:p>
    <w:p w:rsidR="00683895" w:rsidRDefault="00683895"/>
    <w:p w:rsidR="00683895" w:rsidRDefault="00683895"/>
    <w:p w:rsidR="00520AF9" w:rsidRDefault="00520AF9">
      <w:r>
        <w:rPr>
          <w:noProof/>
          <w:lang w:eastAsia="en-ZA"/>
        </w:rPr>
        <w:drawing>
          <wp:inline distT="0" distB="0" distL="0" distR="0">
            <wp:extent cx="5544185" cy="3171825"/>
            <wp:effectExtent l="19050" t="0" r="1841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0AF9" w:rsidRDefault="00520AF9"/>
    <w:p w:rsidR="00520AF9" w:rsidRDefault="00520AF9"/>
    <w:p w:rsidR="00520AF9" w:rsidRDefault="00520AF9">
      <w:r>
        <w:rPr>
          <w:noProof/>
          <w:lang w:eastAsia="en-ZA"/>
        </w:rPr>
        <w:drawing>
          <wp:inline distT="0" distB="0" distL="0" distR="0">
            <wp:extent cx="5544185" cy="3390900"/>
            <wp:effectExtent l="19050" t="0" r="18415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0AF9" w:rsidRDefault="00520AF9"/>
    <w:p w:rsidR="00520AF9" w:rsidRDefault="00520AF9">
      <w:r>
        <w:rPr>
          <w:noProof/>
          <w:lang w:eastAsia="en-ZA"/>
        </w:rPr>
        <w:drawing>
          <wp:inline distT="0" distB="0" distL="0" distR="0">
            <wp:extent cx="5543551" cy="3219450"/>
            <wp:effectExtent l="19050" t="0" r="19049" b="0"/>
            <wp:docPr id="1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0AF9" w:rsidRDefault="00520AF9"/>
    <w:p w:rsidR="00520AF9" w:rsidRDefault="00520AF9"/>
    <w:p w:rsidR="00520AF9" w:rsidRDefault="00520AF9">
      <w:r>
        <w:rPr>
          <w:noProof/>
          <w:lang w:eastAsia="en-ZA"/>
        </w:rPr>
        <w:drawing>
          <wp:inline distT="0" distB="0" distL="0" distR="0">
            <wp:extent cx="5562600" cy="3390900"/>
            <wp:effectExtent l="19050" t="0" r="19050" b="0"/>
            <wp:docPr id="1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0AF9" w:rsidRDefault="00520AF9"/>
    <w:p w:rsidR="00520AF9" w:rsidRDefault="00520AF9">
      <w:r>
        <w:rPr>
          <w:noProof/>
          <w:lang w:eastAsia="en-ZA"/>
        </w:rPr>
        <w:lastRenderedPageBreak/>
        <w:drawing>
          <wp:inline distT="0" distB="0" distL="0" distR="0">
            <wp:extent cx="5562600" cy="3429000"/>
            <wp:effectExtent l="19050" t="0" r="19050" b="0"/>
            <wp:docPr id="1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0AF9" w:rsidRDefault="00520AF9"/>
    <w:p w:rsidR="00520AF9" w:rsidRDefault="00520AF9"/>
    <w:p w:rsidR="00520AF9" w:rsidRDefault="00520AF9">
      <w:r>
        <w:rPr>
          <w:noProof/>
          <w:lang w:eastAsia="en-ZA"/>
        </w:rPr>
        <w:drawing>
          <wp:inline distT="0" distB="0" distL="0" distR="0">
            <wp:extent cx="5562600" cy="3562350"/>
            <wp:effectExtent l="19050" t="0" r="19050" b="0"/>
            <wp:docPr id="1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0AF9" w:rsidRDefault="00520AF9"/>
    <w:p w:rsidR="00520AF9" w:rsidRDefault="00520AF9">
      <w:r>
        <w:rPr>
          <w:noProof/>
          <w:lang w:eastAsia="en-ZA"/>
        </w:rPr>
        <w:lastRenderedPageBreak/>
        <w:drawing>
          <wp:inline distT="0" distB="0" distL="0" distR="0">
            <wp:extent cx="5562600" cy="3390900"/>
            <wp:effectExtent l="19050" t="0" r="19050" b="0"/>
            <wp:docPr id="1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0AF9" w:rsidRDefault="00520AF9"/>
    <w:p w:rsidR="00520AF9" w:rsidRDefault="00520AF9"/>
    <w:p w:rsidR="00520AF9" w:rsidRDefault="00520AF9">
      <w:r>
        <w:rPr>
          <w:noProof/>
          <w:lang w:eastAsia="en-ZA"/>
        </w:rPr>
        <w:drawing>
          <wp:inline distT="0" distB="0" distL="0" distR="0">
            <wp:extent cx="5562600" cy="3390900"/>
            <wp:effectExtent l="19050" t="0" r="19050" b="0"/>
            <wp:docPr id="2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20AF9" w:rsidRDefault="00520AF9"/>
    <w:p w:rsidR="00520AF9" w:rsidRDefault="00520AF9">
      <w:r>
        <w:rPr>
          <w:noProof/>
          <w:lang w:eastAsia="en-ZA"/>
        </w:rPr>
        <w:lastRenderedPageBreak/>
        <w:drawing>
          <wp:inline distT="0" distB="0" distL="0" distR="0">
            <wp:extent cx="5553075" cy="3390900"/>
            <wp:effectExtent l="19050" t="0" r="9525" b="0"/>
            <wp:docPr id="2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20AF9" w:rsidRDefault="00520AF9"/>
    <w:p w:rsidR="00520AF9" w:rsidRDefault="00520AF9"/>
    <w:p w:rsidR="00520AF9" w:rsidRDefault="00520AF9">
      <w:r>
        <w:rPr>
          <w:noProof/>
          <w:lang w:eastAsia="en-ZA"/>
        </w:rPr>
        <w:drawing>
          <wp:inline distT="0" distB="0" distL="0" distR="0">
            <wp:extent cx="5553075" cy="3390900"/>
            <wp:effectExtent l="19050" t="0" r="9525" b="0"/>
            <wp:docPr id="2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20AF9" w:rsidRDefault="00520AF9"/>
    <w:p w:rsidR="00520AF9" w:rsidRDefault="00520AF9">
      <w:r>
        <w:rPr>
          <w:noProof/>
          <w:lang w:eastAsia="en-ZA"/>
        </w:rPr>
        <w:lastRenderedPageBreak/>
        <w:drawing>
          <wp:inline distT="0" distB="0" distL="0" distR="0">
            <wp:extent cx="5562600" cy="3171825"/>
            <wp:effectExtent l="19050" t="0" r="19050" b="0"/>
            <wp:docPr id="2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20AF9" w:rsidRDefault="00520AF9"/>
    <w:p w:rsidR="00520AF9" w:rsidRDefault="00520AF9"/>
    <w:p w:rsidR="00520AF9" w:rsidRDefault="00520AF9">
      <w:r>
        <w:rPr>
          <w:noProof/>
          <w:lang w:eastAsia="en-ZA"/>
        </w:rPr>
        <w:drawing>
          <wp:inline distT="0" distB="0" distL="0" distR="0">
            <wp:extent cx="5562600" cy="3781425"/>
            <wp:effectExtent l="19050" t="0" r="19050" b="0"/>
            <wp:docPr id="2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20AF9" w:rsidRDefault="00520AF9"/>
    <w:p w:rsidR="00683895" w:rsidRDefault="00520AF9">
      <w:r>
        <w:rPr>
          <w:noProof/>
          <w:lang w:eastAsia="en-ZA"/>
        </w:rPr>
        <w:lastRenderedPageBreak/>
        <w:drawing>
          <wp:inline distT="0" distB="0" distL="0" distR="0">
            <wp:extent cx="5562600" cy="3390900"/>
            <wp:effectExtent l="19050" t="0" r="19050" b="0"/>
            <wp:docPr id="2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83895" w:rsidRDefault="00683895"/>
    <w:p w:rsidR="00683895" w:rsidRDefault="00683895"/>
    <w:sectPr w:rsidR="00683895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95" w:rsidRDefault="00683895" w:rsidP="0044524C">
      <w:pPr>
        <w:spacing w:after="0" w:line="240" w:lineRule="auto"/>
      </w:pPr>
      <w:r>
        <w:separator/>
      </w:r>
    </w:p>
  </w:endnote>
  <w:endnote w:type="continuationSeparator" w:id="0">
    <w:p w:rsidR="00683895" w:rsidRDefault="00683895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95" w:rsidRPr="004D56B6" w:rsidRDefault="00550D90">
    <w:pPr>
      <w:pStyle w:val="Footer"/>
      <w:rPr>
        <w:sz w:val="20"/>
        <w:szCs w:val="20"/>
      </w:rPr>
    </w:pPr>
    <w:r>
      <w:rPr>
        <w:sz w:val="20"/>
        <w:szCs w:val="20"/>
      </w:rPr>
      <w:t xml:space="preserve">Johannesburg </w:t>
    </w:r>
    <w:r w:rsidR="00520AF9">
      <w:rPr>
        <w:sz w:val="20"/>
        <w:szCs w:val="20"/>
      </w:rPr>
      <w:t>West</w:t>
    </w:r>
    <w:sdt>
      <w:sdtPr>
        <w:rPr>
          <w:sz w:val="20"/>
          <w:szCs w:val="20"/>
        </w:rPr>
        <w:id w:val="11614079"/>
        <w:docPartObj>
          <w:docPartGallery w:val="Page Numbers (Bottom of Page)"/>
          <w:docPartUnique/>
        </w:docPartObj>
      </w:sdtPr>
      <w:sdtContent>
        <w:r w:rsidR="00D27377" w:rsidRPr="00D27377">
          <w:rPr>
            <w:noProof/>
            <w:sz w:val="20"/>
            <w:szCs w:val="20"/>
            <w:lang w:val="en-US" w:eastAsia="zh-TW"/>
          </w:rPr>
          <w:pict>
            <v:group id="_x0000_s2057" style="position:absolute;margin-left:-58.8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2111;top:15387;width:0;height:441;flip:y" o:connectortype="straight" strokecolor="#7f7f7f [1612]"/>
              <v:rect id="_x0000_s2059" style="position:absolute;left:1743;top:14699;width:688;height:688;v-text-anchor:middle" filled="f" strokecolor="#7f7f7f [1612]">
                <v:textbox>
                  <w:txbxContent>
                    <w:p w:rsidR="00285A07" w:rsidRDefault="00D27377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520AF9" w:rsidRPr="00520AF9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95" w:rsidRDefault="00683895" w:rsidP="0044524C">
      <w:pPr>
        <w:spacing w:after="0" w:line="240" w:lineRule="auto"/>
      </w:pPr>
      <w:r>
        <w:separator/>
      </w:r>
    </w:p>
  </w:footnote>
  <w:footnote w:type="continuationSeparator" w:id="0">
    <w:p w:rsidR="00683895" w:rsidRDefault="00683895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37FFA"/>
    <w:rsid w:val="001E20C0"/>
    <w:rsid w:val="001F5D9B"/>
    <w:rsid w:val="00207880"/>
    <w:rsid w:val="00285A07"/>
    <w:rsid w:val="002E0131"/>
    <w:rsid w:val="0034017C"/>
    <w:rsid w:val="00344E06"/>
    <w:rsid w:val="003E439D"/>
    <w:rsid w:val="00412710"/>
    <w:rsid w:val="0044524C"/>
    <w:rsid w:val="004D56B6"/>
    <w:rsid w:val="00520AF9"/>
    <w:rsid w:val="00550D90"/>
    <w:rsid w:val="00666F96"/>
    <w:rsid w:val="00683895"/>
    <w:rsid w:val="007639C7"/>
    <w:rsid w:val="00770CA2"/>
    <w:rsid w:val="007A5B86"/>
    <w:rsid w:val="00816DB9"/>
    <w:rsid w:val="00C05411"/>
    <w:rsid w:val="00D27377"/>
    <w:rsid w:val="00E70E78"/>
    <w:rsid w:val="00E77D45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West.ht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2"/>
          <c:y val="2.0020020020020041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'Jhb West'!$B$53:$B$54</c:f>
              <c:strCache>
                <c:ptCount val="2"/>
                <c:pt idx="0">
                  <c:v>Sole Practitioner</c:v>
                </c:pt>
                <c:pt idx="1">
                  <c:v>2 to 5</c:v>
                </c:pt>
              </c:strCache>
            </c:strRef>
          </c:cat>
          <c:val>
            <c:numRef>
              <c:f>'Jhb West'!$C$53:$C$54</c:f>
              <c:numCache>
                <c:formatCode>0</c:formatCode>
                <c:ptCount val="2"/>
                <c:pt idx="0">
                  <c:v>30.952380952380953</c:v>
                </c:pt>
                <c:pt idx="1">
                  <c:v>69.047619047619051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West'!$AS$59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West'!$AT$58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West'!$AT$59</c:f>
              <c:numCache>
                <c:formatCode>0.00</c:formatCode>
                <c:ptCount val="1"/>
                <c:pt idx="0">
                  <c:v>1.5</c:v>
                </c:pt>
              </c:numCache>
            </c:numRef>
          </c:val>
        </c:ser>
        <c:ser>
          <c:idx val="1"/>
          <c:order val="1"/>
          <c:tx>
            <c:strRef>
              <c:f>'Jhb West'!$AS$60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'Jhb West'!$AT$58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West'!$AT$60</c:f>
              <c:numCache>
                <c:formatCode>0.00</c:formatCode>
                <c:ptCount val="1"/>
                <c:pt idx="0">
                  <c:v>13.402120315581852</c:v>
                </c:pt>
              </c:numCache>
            </c:numRef>
          </c:val>
        </c:ser>
        <c:ser>
          <c:idx val="2"/>
          <c:order val="2"/>
          <c:tx>
            <c:strRef>
              <c:f>'Jhb West'!$AS$61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West'!$AT$58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West'!$AT$61</c:f>
              <c:numCache>
                <c:formatCode>0.00</c:formatCode>
                <c:ptCount val="1"/>
                <c:pt idx="0">
                  <c:v>63</c:v>
                </c:pt>
              </c:numCache>
            </c:numRef>
          </c:val>
        </c:ser>
        <c:axId val="71099136"/>
        <c:axId val="71100672"/>
      </c:barChart>
      <c:catAx>
        <c:axId val="71099136"/>
        <c:scaling>
          <c:orientation val="minMax"/>
        </c:scaling>
        <c:delete val="1"/>
        <c:axPos val="b"/>
        <c:majorTickMark val="none"/>
        <c:tickLblPos val="none"/>
        <c:crossAx val="71100672"/>
        <c:crosses val="autoZero"/>
        <c:auto val="1"/>
        <c:lblAlgn val="ctr"/>
        <c:lblOffset val="100"/>
      </c:catAx>
      <c:valAx>
        <c:axId val="711006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099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1309567406262463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678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48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'Jhb West'!$AC$62:$AC$63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'Jhb West'!$AD$62:$AD$63</c:f>
              <c:numCache>
                <c:formatCode>General</c:formatCode>
                <c:ptCount val="2"/>
                <c:pt idx="0">
                  <c:v>1</c:v>
                </c:pt>
                <c:pt idx="1">
                  <c:v>2.2727272727272729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West'!$AH$55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'Jhb West'!$AI$54:$AJ$54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West'!$AI$55:$AJ$55</c:f>
              <c:numCache>
                <c:formatCode>0.00</c:formatCode>
                <c:ptCount val="2"/>
                <c:pt idx="0">
                  <c:v>0</c:v>
                </c:pt>
                <c:pt idx="1">
                  <c:v>16.666666666666664</c:v>
                </c:pt>
              </c:numCache>
            </c:numRef>
          </c:val>
        </c:ser>
        <c:ser>
          <c:idx val="1"/>
          <c:order val="1"/>
          <c:tx>
            <c:strRef>
              <c:f>'Jhb West'!$AH$56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'Jhb West'!$AI$54:$AJ$54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West'!$AI$56:$AJ$56</c:f>
              <c:numCache>
                <c:formatCode>0.00</c:formatCode>
                <c:ptCount val="2"/>
                <c:pt idx="0">
                  <c:v>18.518518518518519</c:v>
                </c:pt>
                <c:pt idx="1">
                  <c:v>72.222222222222214</c:v>
                </c:pt>
              </c:numCache>
            </c:numRef>
          </c:val>
        </c:ser>
        <c:ser>
          <c:idx val="2"/>
          <c:order val="2"/>
          <c:tx>
            <c:strRef>
              <c:f>'Jhb West'!$AH$57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'Jhb West'!$AI$54:$AJ$54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West'!$AI$57:$AJ$57</c:f>
              <c:numCache>
                <c:formatCode>0.00</c:formatCode>
                <c:ptCount val="2"/>
                <c:pt idx="0">
                  <c:v>66.666666666666657</c:v>
                </c:pt>
                <c:pt idx="1">
                  <c:v>11.111111111111111</c:v>
                </c:pt>
              </c:numCache>
            </c:numRef>
          </c:val>
        </c:ser>
        <c:ser>
          <c:idx val="3"/>
          <c:order val="3"/>
          <c:tx>
            <c:strRef>
              <c:f>'Jhb West'!$AH$58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'Jhb West'!$AI$54:$AJ$54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West'!$AI$58:$AJ$58</c:f>
              <c:numCache>
                <c:formatCode>General</c:formatCode>
                <c:ptCount val="2"/>
                <c:pt idx="0" formatCode="0.00">
                  <c:v>14.814814814814813</c:v>
                </c:pt>
                <c:pt idx="1">
                  <c:v>0</c:v>
                </c:pt>
              </c:numCache>
            </c:numRef>
          </c:val>
        </c:ser>
        <c:axId val="71215744"/>
        <c:axId val="71233920"/>
      </c:barChart>
      <c:catAx>
        <c:axId val="71215744"/>
        <c:scaling>
          <c:orientation val="minMax"/>
        </c:scaling>
        <c:axPos val="b"/>
        <c:majorTickMark val="none"/>
        <c:tickLblPos val="nextTo"/>
        <c:crossAx val="71233920"/>
        <c:crosses val="autoZero"/>
        <c:auto val="1"/>
        <c:lblAlgn val="ctr"/>
        <c:lblOffset val="100"/>
      </c:catAx>
      <c:valAx>
        <c:axId val="71233920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215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1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West'!$AJ$66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West'!$AK$65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West'!$AK$66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'Jhb West'!$AJ$67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'Jhb West'!$AK$65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West'!$AK$67</c:f>
              <c:numCache>
                <c:formatCode>General</c:formatCode>
                <c:ptCount val="1"/>
                <c:pt idx="0">
                  <c:v>28.434782608695652</c:v>
                </c:pt>
              </c:numCache>
            </c:numRef>
          </c:val>
        </c:ser>
        <c:ser>
          <c:idx val="2"/>
          <c:order val="2"/>
          <c:tx>
            <c:strRef>
              <c:f>'Jhb West'!$AJ$68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West'!$AK$65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West'!$AK$68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axId val="71395200"/>
        <c:axId val="71396736"/>
      </c:barChart>
      <c:catAx>
        <c:axId val="71395200"/>
        <c:scaling>
          <c:orientation val="minMax"/>
        </c:scaling>
        <c:delete val="1"/>
        <c:axPos val="b"/>
        <c:majorTickMark val="none"/>
        <c:tickLblPos val="none"/>
        <c:crossAx val="71396736"/>
        <c:crosses val="autoZero"/>
        <c:auto val="1"/>
        <c:lblAlgn val="ctr"/>
        <c:lblOffset val="100"/>
      </c:catAx>
      <c:valAx>
        <c:axId val="713967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395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79E-2"/>
        </c:manualLayout>
      </c:layout>
    </c:title>
    <c:plotArea>
      <c:layout>
        <c:manualLayout>
          <c:layoutTarget val="inner"/>
          <c:xMode val="edge"/>
          <c:yMode val="edge"/>
          <c:x val="0.14456841106245333"/>
          <c:y val="0.19164351647055322"/>
          <c:w val="0.71969426797022662"/>
          <c:h val="0.67778347931227823"/>
        </c:manualLayout>
      </c:layout>
      <c:barChart>
        <c:barDir val="col"/>
        <c:grouping val="clustered"/>
        <c:ser>
          <c:idx val="0"/>
          <c:order val="0"/>
          <c:tx>
            <c:strRef>
              <c:f>'Jhb West'!$K$65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West'!$L$64:$N$64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West'!$L$65:$N$65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'Jhb West'!$K$66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'Jhb West'!$L$64:$N$64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West'!$L$66:$N$66</c:f>
              <c:numCache>
                <c:formatCode>General</c:formatCode>
                <c:ptCount val="3"/>
                <c:pt idx="0">
                  <c:v>350</c:v>
                </c:pt>
                <c:pt idx="1">
                  <c:v>350</c:v>
                </c:pt>
                <c:pt idx="2">
                  <c:v>125</c:v>
                </c:pt>
              </c:numCache>
            </c:numRef>
          </c:val>
        </c:ser>
        <c:ser>
          <c:idx val="2"/>
          <c:order val="2"/>
          <c:tx>
            <c:strRef>
              <c:f>'Jhb West'!$K$67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'Jhb West'!$L$64:$N$64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West'!$L$67:$N$67</c:f>
              <c:numCache>
                <c:formatCode>General</c:formatCode>
                <c:ptCount val="3"/>
                <c:pt idx="0">
                  <c:v>475</c:v>
                </c:pt>
                <c:pt idx="1">
                  <c:v>450</c:v>
                </c:pt>
                <c:pt idx="2">
                  <c:v>200</c:v>
                </c:pt>
              </c:numCache>
            </c:numRef>
          </c:val>
        </c:ser>
        <c:ser>
          <c:idx val="3"/>
          <c:order val="3"/>
          <c:tx>
            <c:strRef>
              <c:f>'Jhb West'!$K$68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'Jhb West'!$L$64:$N$64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West'!$L$68:$N$68</c:f>
              <c:numCache>
                <c:formatCode>General</c:formatCode>
                <c:ptCount val="3"/>
                <c:pt idx="0">
                  <c:v>550</c:v>
                </c:pt>
                <c:pt idx="1">
                  <c:v>585</c:v>
                </c:pt>
                <c:pt idx="2">
                  <c:v>250</c:v>
                </c:pt>
              </c:numCache>
            </c:numRef>
          </c:val>
        </c:ser>
        <c:ser>
          <c:idx val="4"/>
          <c:order val="4"/>
          <c:tx>
            <c:strRef>
              <c:f>'Jhb West'!$K$69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West'!$L$64:$N$64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West'!$L$69:$N$69</c:f>
              <c:numCache>
                <c:formatCode>General</c:formatCode>
                <c:ptCount val="3"/>
                <c:pt idx="0">
                  <c:v>750</c:v>
                </c:pt>
                <c:pt idx="1">
                  <c:v>750</c:v>
                </c:pt>
                <c:pt idx="2">
                  <c:v>750</c:v>
                </c:pt>
              </c:numCache>
            </c:numRef>
          </c:val>
        </c:ser>
        <c:axId val="70461312"/>
        <c:axId val="70462848"/>
      </c:barChart>
      <c:catAx>
        <c:axId val="704613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70462848"/>
        <c:crosses val="autoZero"/>
        <c:auto val="1"/>
        <c:lblAlgn val="ctr"/>
        <c:lblOffset val="100"/>
        <c:tickLblSkip val="1"/>
        <c:tickMarkSkip val="1"/>
      </c:catAx>
      <c:valAx>
        <c:axId val="70462848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70461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66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07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1"/>
          <c:y val="0.21736694155834133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'Jhb West'!$N$72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'Jhb West'!$O$72</c:f>
              <c:numCache>
                <c:formatCode>"R"\ #,##0.00</c:formatCode>
                <c:ptCount val="1"/>
                <c:pt idx="0">
                  <c:v>45</c:v>
                </c:pt>
              </c:numCache>
            </c:numRef>
          </c:val>
        </c:ser>
        <c:ser>
          <c:idx val="1"/>
          <c:order val="1"/>
          <c:tx>
            <c:strRef>
              <c:f>'Jhb West'!$N$73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'Jhb West'!$O$73</c:f>
              <c:numCache>
                <c:formatCode>"R"\ #,##0.00</c:formatCode>
                <c:ptCount val="1"/>
                <c:pt idx="0">
                  <c:v>102.5</c:v>
                </c:pt>
              </c:numCache>
            </c:numRef>
          </c:val>
        </c:ser>
        <c:ser>
          <c:idx val="2"/>
          <c:order val="2"/>
          <c:tx>
            <c:strRef>
              <c:f>'Jhb West'!$N$74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'Jhb West'!$O$74</c:f>
              <c:numCache>
                <c:formatCode>0.00</c:formatCode>
                <c:ptCount val="1"/>
                <c:pt idx="0">
                  <c:v>125.23684210526316</c:v>
                </c:pt>
              </c:numCache>
            </c:numRef>
          </c:val>
        </c:ser>
        <c:ser>
          <c:idx val="3"/>
          <c:order val="3"/>
          <c:tx>
            <c:strRef>
              <c:f>'Jhb West'!$N$75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'Jhb West'!$O$75</c:f>
              <c:numCache>
                <c:formatCode>General</c:formatCode>
                <c:ptCount val="1"/>
                <c:pt idx="0">
                  <c:v>150</c:v>
                </c:pt>
              </c:numCache>
            </c:numRef>
          </c:val>
        </c:ser>
        <c:ser>
          <c:idx val="4"/>
          <c:order val="4"/>
          <c:tx>
            <c:strRef>
              <c:f>'Jhb West'!$N$76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'Jhb West'!$O$76</c:f>
              <c:numCache>
                <c:formatCode>0.00</c:formatCode>
                <c:ptCount val="1"/>
                <c:pt idx="0">
                  <c:v>500</c:v>
                </c:pt>
              </c:numCache>
            </c:numRef>
          </c:val>
        </c:ser>
        <c:axId val="70647168"/>
        <c:axId val="70773376"/>
      </c:barChart>
      <c:catAx>
        <c:axId val="70647168"/>
        <c:scaling>
          <c:orientation val="minMax"/>
        </c:scaling>
        <c:delete val="1"/>
        <c:axPos val="b"/>
        <c:tickLblPos val="none"/>
        <c:crossAx val="70773376"/>
        <c:crosses val="autoZero"/>
        <c:auto val="1"/>
        <c:lblAlgn val="ctr"/>
        <c:lblOffset val="100"/>
      </c:catAx>
      <c:valAx>
        <c:axId val="707733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0647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53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17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West'!$P$72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'Jhb West'!$Q$71:$U$71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West'!$Q$72:$U$72</c:f>
              <c:numCache>
                <c:formatCode>"R"\ #,##0.00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92</c:v>
                </c:pt>
              </c:numCache>
            </c:numRef>
          </c:val>
        </c:ser>
        <c:ser>
          <c:idx val="1"/>
          <c:order val="1"/>
          <c:tx>
            <c:strRef>
              <c:f>'Jhb West'!$P$73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'Jhb West'!$Q$71:$U$71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West'!$Q$73:$U$73</c:f>
              <c:numCache>
                <c:formatCode>"R"\ #,##0.00</c:formatCode>
                <c:ptCount val="5"/>
                <c:pt idx="0">
                  <c:v>132.23076923076923</c:v>
                </c:pt>
                <c:pt idx="1">
                  <c:v>125.69230769230769</c:v>
                </c:pt>
                <c:pt idx="2">
                  <c:v>122</c:v>
                </c:pt>
                <c:pt idx="3">
                  <c:v>127.18181818181819</c:v>
                </c:pt>
                <c:pt idx="4">
                  <c:v>137</c:v>
                </c:pt>
              </c:numCache>
            </c:numRef>
          </c:val>
        </c:ser>
        <c:ser>
          <c:idx val="2"/>
          <c:order val="2"/>
          <c:tx>
            <c:strRef>
              <c:f>'Jhb West'!$P$74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West'!$Q$71:$U$71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West'!$Q$74:$U$74</c:f>
              <c:numCache>
                <c:formatCode>"R"\ #,##0.00</c:formatCode>
                <c:ptCount val="5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</c:numCache>
            </c:numRef>
          </c:val>
        </c:ser>
        <c:ser>
          <c:idx val="3"/>
          <c:order val="3"/>
          <c:tx>
            <c:strRef>
              <c:f>'Jhb West'!$P$75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'Jhb West'!$Q$71:$U$71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West'!$Q$75:$U$75</c:f>
              <c:numCache>
                <c:formatCode>0.00</c:formatCode>
                <c:ptCount val="5"/>
                <c:pt idx="0">
                  <c:v>56.666666666666664</c:v>
                </c:pt>
                <c:pt idx="1">
                  <c:v>59.375</c:v>
                </c:pt>
                <c:pt idx="2">
                  <c:v>62.962962962962962</c:v>
                </c:pt>
                <c:pt idx="3">
                  <c:v>64.516129032258064</c:v>
                </c:pt>
                <c:pt idx="4">
                  <c:v>83.333333333333343</c:v>
                </c:pt>
              </c:numCache>
            </c:numRef>
          </c:val>
        </c:ser>
        <c:axId val="83506688"/>
        <c:axId val="83378176"/>
      </c:barChart>
      <c:catAx>
        <c:axId val="83506688"/>
        <c:scaling>
          <c:orientation val="minMax"/>
        </c:scaling>
        <c:axPos val="b"/>
        <c:majorTickMark val="none"/>
        <c:tickLblPos val="nextTo"/>
        <c:crossAx val="83378176"/>
        <c:crosses val="autoZero"/>
        <c:auto val="1"/>
        <c:lblAlgn val="ctr"/>
        <c:lblOffset val="100"/>
      </c:catAx>
      <c:valAx>
        <c:axId val="833781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83506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195"/>
          <c:w val="0.12978654776586671"/>
          <c:h val="0.49156831519655686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73"/>
          <c:y val="0.17075007290755317"/>
          <c:w val="0.73024916405997264"/>
          <c:h val="0.70895042286381071"/>
        </c:manualLayout>
      </c:layout>
      <c:barChart>
        <c:barDir val="col"/>
        <c:grouping val="clustered"/>
        <c:ser>
          <c:idx val="0"/>
          <c:order val="0"/>
          <c:cat>
            <c:strRef>
              <c:f>'Jhb West'!$O$81:$O$85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'Jhb West'!$P$81:$P$85</c:f>
              <c:numCache>
                <c:formatCode>"R"\ #,##0.00</c:formatCode>
                <c:ptCount val="5"/>
                <c:pt idx="0">
                  <c:v>100</c:v>
                </c:pt>
                <c:pt idx="1">
                  <c:v>425</c:v>
                </c:pt>
                <c:pt idx="2">
                  <c:v>456.75</c:v>
                </c:pt>
                <c:pt idx="3" formatCode="General">
                  <c:v>655</c:v>
                </c:pt>
                <c:pt idx="4" formatCode="General">
                  <c:v>1000</c:v>
                </c:pt>
              </c:numCache>
            </c:numRef>
          </c:val>
        </c:ser>
        <c:axId val="83496960"/>
        <c:axId val="83498496"/>
      </c:barChart>
      <c:catAx>
        <c:axId val="83496960"/>
        <c:scaling>
          <c:orientation val="minMax"/>
        </c:scaling>
        <c:axPos val="b"/>
        <c:tickLblPos val="nextTo"/>
        <c:crossAx val="83498496"/>
        <c:crosses val="autoZero"/>
        <c:auto val="1"/>
        <c:lblAlgn val="ctr"/>
        <c:lblOffset val="100"/>
      </c:catAx>
      <c:valAx>
        <c:axId val="834984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8349696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593"/>
          <c:y val="4.8689138576778833E-2"/>
        </c:manualLayout>
      </c:layout>
    </c:title>
    <c:plotArea>
      <c:layout>
        <c:manualLayout>
          <c:layoutTarget val="inner"/>
          <c:xMode val="edge"/>
          <c:yMode val="edge"/>
          <c:x val="0.14203249946220892"/>
          <c:y val="0.22379220855820034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West'!$U$82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West'!$V$81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West'!$V$82</c:f>
              <c:numCache>
                <c:formatCode>"R"\ #,##0.00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'Jhb West'!$U$83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'Jhb West'!$V$81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West'!$V$83</c:f>
              <c:numCache>
                <c:formatCode>"R"\ #,##0.00</c:formatCode>
                <c:ptCount val="1"/>
                <c:pt idx="0">
                  <c:v>298.66666666666669</c:v>
                </c:pt>
              </c:numCache>
            </c:numRef>
          </c:val>
        </c:ser>
        <c:ser>
          <c:idx val="2"/>
          <c:order val="2"/>
          <c:tx>
            <c:strRef>
              <c:f>'Jhb West'!$U$84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West'!$V$81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West'!$V$84</c:f>
              <c:numCache>
                <c:formatCode>"R"\ #,##0.00</c:formatCode>
                <c:ptCount val="1"/>
                <c:pt idx="0">
                  <c:v>570</c:v>
                </c:pt>
              </c:numCache>
            </c:numRef>
          </c:val>
        </c:ser>
        <c:ser>
          <c:idx val="3"/>
          <c:order val="3"/>
          <c:tx>
            <c:strRef>
              <c:f>'Jhb West'!$U$85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'Jhb West'!$V$81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West'!$V$85</c:f>
              <c:numCache>
                <c:formatCode>0.00</c:formatCode>
                <c:ptCount val="1"/>
                <c:pt idx="0">
                  <c:v>20.588235294117645</c:v>
                </c:pt>
              </c:numCache>
            </c:numRef>
          </c:val>
        </c:ser>
        <c:axId val="71122944"/>
        <c:axId val="71124480"/>
      </c:barChart>
      <c:catAx>
        <c:axId val="71122944"/>
        <c:scaling>
          <c:orientation val="minMax"/>
        </c:scaling>
        <c:delete val="1"/>
        <c:axPos val="b"/>
        <c:majorTickMark val="none"/>
        <c:tickLblPos val="none"/>
        <c:crossAx val="71124480"/>
        <c:crosses val="autoZero"/>
        <c:auto val="1"/>
        <c:lblAlgn val="ctr"/>
        <c:lblOffset val="100"/>
      </c:catAx>
      <c:valAx>
        <c:axId val="711244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1122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891"/>
          <c:y val="0.34905217061771032"/>
          <c:w val="0.10962720620926353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398E-2"/>
        </c:manualLayout>
      </c:layout>
    </c:title>
    <c:plotArea>
      <c:layout>
        <c:manualLayout>
          <c:layoutTarget val="inner"/>
          <c:xMode val="edge"/>
          <c:yMode val="edge"/>
          <c:x val="0.10824872166973108"/>
          <c:y val="0.22379220855820042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West'!$V$62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'Jhb West'!$W$62</c:f>
              <c:numCache>
                <c:formatCode>0.00</c:formatCode>
                <c:ptCount val="1"/>
                <c:pt idx="0">
                  <c:v>22.857142857142858</c:v>
                </c:pt>
              </c:numCache>
            </c:numRef>
          </c:val>
        </c:ser>
        <c:ser>
          <c:idx val="1"/>
          <c:order val="1"/>
          <c:tx>
            <c:strRef>
              <c:f>'Jhb West'!$V$63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'Jhb West'!$W$63</c:f>
              <c:numCache>
                <c:formatCode>0.00</c:formatCode>
                <c:ptCount val="1"/>
                <c:pt idx="0">
                  <c:v>77.142857142857153</c:v>
                </c:pt>
              </c:numCache>
            </c:numRef>
          </c:val>
        </c:ser>
        <c:ser>
          <c:idx val="2"/>
          <c:order val="2"/>
          <c:tx>
            <c:strRef>
              <c:f>'Jhb West'!$V$64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'Jhb West'!$W$64</c:f>
              <c:numCache>
                <c:formatCode>0.0</c:formatCode>
                <c:ptCount val="1"/>
                <c:pt idx="0">
                  <c:v>13.375</c:v>
                </c:pt>
              </c:numCache>
            </c:numRef>
          </c:val>
        </c:ser>
        <c:axId val="71146496"/>
        <c:axId val="71148288"/>
      </c:barChart>
      <c:catAx>
        <c:axId val="71146496"/>
        <c:scaling>
          <c:orientation val="minMax"/>
        </c:scaling>
        <c:delete val="1"/>
        <c:axPos val="b"/>
        <c:majorTickMark val="none"/>
        <c:tickLblPos val="none"/>
        <c:crossAx val="71148288"/>
        <c:crosses val="autoZero"/>
        <c:auto val="1"/>
        <c:lblAlgn val="ctr"/>
        <c:lblOffset val="100"/>
      </c:catAx>
      <c:valAx>
        <c:axId val="711482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146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2978654776586671"/>
          <c:h val="0.49156831519655714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03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West'!$X$67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'Jhb West'!$Y$66:$AA$66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'Jhb West'!$Y$67:$AA$67</c:f>
              <c:numCache>
                <c:formatCode>0.00</c:formatCode>
                <c:ptCount val="3"/>
                <c:pt idx="0">
                  <c:v>50</c:v>
                </c:pt>
                <c:pt idx="1">
                  <c:v>58.064516129032263</c:v>
                </c:pt>
                <c:pt idx="2">
                  <c:v>47.826086956521742</c:v>
                </c:pt>
              </c:numCache>
            </c:numRef>
          </c:val>
        </c:ser>
        <c:ser>
          <c:idx val="1"/>
          <c:order val="1"/>
          <c:tx>
            <c:strRef>
              <c:f>'Jhb West'!$X$68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'Jhb West'!$Y$66:$AA$66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'Jhb West'!$Y$68:$AA$68</c:f>
              <c:numCache>
                <c:formatCode>0.00</c:formatCode>
                <c:ptCount val="3"/>
                <c:pt idx="0">
                  <c:v>50</c:v>
                </c:pt>
                <c:pt idx="1">
                  <c:v>41.935483870967744</c:v>
                </c:pt>
                <c:pt idx="2">
                  <c:v>52.173913043478258</c:v>
                </c:pt>
              </c:numCache>
            </c:numRef>
          </c:val>
        </c:ser>
        <c:axId val="71169536"/>
        <c:axId val="71171072"/>
      </c:barChart>
      <c:catAx>
        <c:axId val="71169536"/>
        <c:scaling>
          <c:orientation val="minMax"/>
        </c:scaling>
        <c:axPos val="b"/>
        <c:majorTickMark val="none"/>
        <c:tickLblPos val="nextTo"/>
        <c:crossAx val="71171072"/>
        <c:crosses val="autoZero"/>
        <c:auto val="1"/>
        <c:lblAlgn val="ctr"/>
        <c:lblOffset val="100"/>
      </c:catAx>
      <c:valAx>
        <c:axId val="711710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169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17"/>
          <c:w val="0.12978654776586671"/>
          <c:h val="0.49156831519655697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West'!$AA$76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West'!$AB$75:$AC$75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West'!$AB$76:$AC$76</c:f>
              <c:numCache>
                <c:formatCode>0.00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'Jhb West'!$AA$77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'Jhb West'!$AB$75:$AC$75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West'!$AB$77:$AC$77</c:f>
              <c:numCache>
                <c:formatCode>0.00</c:formatCode>
                <c:ptCount val="2"/>
                <c:pt idx="0">
                  <c:v>18.166666666666668</c:v>
                </c:pt>
                <c:pt idx="1">
                  <c:v>33.9</c:v>
                </c:pt>
              </c:numCache>
            </c:numRef>
          </c:val>
        </c:ser>
        <c:ser>
          <c:idx val="2"/>
          <c:order val="2"/>
          <c:tx>
            <c:strRef>
              <c:f>'Jhb West'!$AA$78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West'!$AB$75:$AC$75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West'!$AB$78:$AC$78</c:f>
              <c:numCache>
                <c:formatCode>0.00</c:formatCode>
                <c:ptCount val="2"/>
                <c:pt idx="0">
                  <c:v>50</c:v>
                </c:pt>
                <c:pt idx="1">
                  <c:v>86.7</c:v>
                </c:pt>
              </c:numCache>
            </c:numRef>
          </c:val>
        </c:ser>
        <c:ser>
          <c:idx val="3"/>
          <c:order val="3"/>
          <c:tx>
            <c:strRef>
              <c:f>'Jhb West'!$AA$79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'Jhb West'!$AB$75:$AC$75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West'!$AB$79:$AC$79</c:f>
              <c:numCache>
                <c:formatCode>0.00</c:formatCode>
                <c:ptCount val="2"/>
                <c:pt idx="0">
                  <c:v>14.285714285714285</c:v>
                </c:pt>
                <c:pt idx="1">
                  <c:v>88.888888888888886</c:v>
                </c:pt>
              </c:numCache>
            </c:numRef>
          </c:val>
        </c:ser>
        <c:axId val="71067136"/>
        <c:axId val="71068672"/>
      </c:barChart>
      <c:catAx>
        <c:axId val="71067136"/>
        <c:scaling>
          <c:orientation val="minMax"/>
        </c:scaling>
        <c:axPos val="b"/>
        <c:majorTickMark val="none"/>
        <c:tickLblPos val="nextTo"/>
        <c:crossAx val="71068672"/>
        <c:crosses val="autoZero"/>
        <c:auto val="1"/>
        <c:lblAlgn val="ctr"/>
        <c:lblOffset val="100"/>
      </c:catAx>
      <c:valAx>
        <c:axId val="710686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067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4355587295951705"/>
          <c:h val="0.2709050694505883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917F-7C85-4232-80C9-8695180E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5</cp:revision>
  <dcterms:created xsi:type="dcterms:W3CDTF">2010-10-19T09:56:00Z</dcterms:created>
  <dcterms:modified xsi:type="dcterms:W3CDTF">2010-10-19T12:13:00Z</dcterms:modified>
</cp:coreProperties>
</file>