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B8" w:rsidRPr="006C576D" w:rsidRDefault="00DB00B8" w:rsidP="00DB00B8">
      <w:pPr>
        <w:pStyle w:val="NoSpacing"/>
        <w:rPr>
          <w:rFonts w:asciiTheme="minorHAnsi" w:hAnsiTheme="minorHAnsi"/>
          <w:b/>
          <w:color w:val="000000" w:themeColor="text1"/>
          <w:sz w:val="28"/>
          <w:szCs w:val="28"/>
        </w:rPr>
      </w:pPr>
      <w:r w:rsidRPr="006C576D">
        <w:rPr>
          <w:rFonts w:asciiTheme="minorHAnsi" w:hAnsiTheme="minorHAnsi"/>
          <w:b/>
          <w:bCs/>
          <w:noProof/>
          <w:color w:val="000000" w:themeColor="text1"/>
          <w:sz w:val="28"/>
          <w:szCs w:val="28"/>
          <w:u w:val="single"/>
          <w:lang w:eastAsia="en-ZA"/>
        </w:rPr>
        <w:drawing>
          <wp:anchor distT="0" distB="0" distL="114300" distR="114300" simplePos="0" relativeHeight="251659264" behindDoc="1" locked="0" layoutInCell="1" allowOverlap="1" wp14:anchorId="01D6BE56" wp14:editId="2650A5DC">
            <wp:simplePos x="0" y="0"/>
            <wp:positionH relativeFrom="column">
              <wp:posOffset>4578985</wp:posOffset>
            </wp:positionH>
            <wp:positionV relativeFrom="paragraph">
              <wp:posOffset>-95250</wp:posOffset>
            </wp:positionV>
            <wp:extent cx="1507207" cy="1062823"/>
            <wp:effectExtent l="0" t="0" r="0" b="4445"/>
            <wp:wrapNone/>
            <wp:docPr id="1" name="Picture 1" descr="BCA logo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logo finish"/>
                    <pic:cNvPicPr>
                      <a:picLocks noChangeAspect="1" noChangeArrowheads="1"/>
                    </pic:cNvPicPr>
                  </pic:nvPicPr>
                  <pic:blipFill>
                    <a:blip r:embed="rId7">
                      <a:clrChange>
                        <a:clrFrom>
                          <a:srgbClr val="FFFFFF"/>
                        </a:clrFrom>
                        <a:clrTo>
                          <a:srgbClr val="FFFFFF">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1507207" cy="10628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76D">
        <w:rPr>
          <w:rFonts w:asciiTheme="minorHAnsi" w:hAnsiTheme="minorHAnsi"/>
          <w:b/>
          <w:color w:val="000000" w:themeColor="text1"/>
          <w:sz w:val="28"/>
          <w:szCs w:val="28"/>
        </w:rPr>
        <w:t>Black Conveyancers Association Training Academy (BTA)</w:t>
      </w:r>
    </w:p>
    <w:p w:rsidR="00DB00B8" w:rsidRPr="006C576D" w:rsidRDefault="00DB00B8" w:rsidP="00DB00B8">
      <w:pPr>
        <w:pStyle w:val="NoSpacing"/>
        <w:rPr>
          <w:rFonts w:asciiTheme="minorHAnsi" w:hAnsiTheme="minorHAnsi"/>
          <w:b/>
          <w:bCs/>
          <w:color w:val="000000" w:themeColor="text1"/>
          <w:sz w:val="28"/>
          <w:szCs w:val="28"/>
          <w:u w:val="single"/>
        </w:rPr>
      </w:pPr>
    </w:p>
    <w:p w:rsidR="00DB00B8" w:rsidRPr="006C576D" w:rsidRDefault="00DB00B8" w:rsidP="00DB00B8">
      <w:pPr>
        <w:pStyle w:val="NoSpacing"/>
        <w:rPr>
          <w:rFonts w:asciiTheme="minorHAnsi" w:hAnsiTheme="minorHAnsi"/>
          <w:b/>
          <w:color w:val="000000" w:themeColor="text1"/>
          <w:sz w:val="28"/>
          <w:szCs w:val="28"/>
        </w:rPr>
      </w:pPr>
      <w:r w:rsidRPr="006C576D">
        <w:rPr>
          <w:rFonts w:asciiTheme="minorHAnsi" w:hAnsiTheme="minorHAnsi"/>
          <w:b/>
          <w:i/>
          <w:color w:val="000000" w:themeColor="text1"/>
          <w:sz w:val="28"/>
          <w:szCs w:val="28"/>
          <w:u w:val="single"/>
        </w:rPr>
        <w:t>Course Brochure:</w:t>
      </w:r>
      <w:r w:rsidRPr="006C576D">
        <w:rPr>
          <w:rFonts w:asciiTheme="minorHAnsi" w:hAnsiTheme="minorHAnsi"/>
          <w:b/>
          <w:color w:val="000000" w:themeColor="text1"/>
          <w:sz w:val="28"/>
          <w:szCs w:val="28"/>
        </w:rPr>
        <w:t xml:space="preserve">   Con</w:t>
      </w:r>
      <w:r>
        <w:rPr>
          <w:rFonts w:asciiTheme="minorHAnsi" w:hAnsiTheme="minorHAnsi"/>
          <w:b/>
          <w:color w:val="000000" w:themeColor="text1"/>
          <w:sz w:val="28"/>
          <w:szCs w:val="28"/>
        </w:rPr>
        <w:t>veyancing Paralegal Course (2020</w:t>
      </w:r>
      <w:r w:rsidRPr="006C576D">
        <w:rPr>
          <w:rFonts w:asciiTheme="minorHAnsi" w:hAnsiTheme="minorHAnsi"/>
          <w:b/>
          <w:color w:val="000000" w:themeColor="text1"/>
          <w:sz w:val="28"/>
          <w:szCs w:val="28"/>
        </w:rPr>
        <w:t>)</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About the Black Conveyancers Association (BCA)</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The Black Conveyancers Association (BCA) was formed in May 2005 in response to the historical inequalities in the conveyancing industry. As the only identifiable, credible black conveyancing organisation, this organisation is instrumental in advancing and representing the interests of black conveyancers nationally.</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bCs/>
          <w:color w:val="000000" w:themeColor="text1"/>
          <w:u w:val="single"/>
        </w:rPr>
      </w:pPr>
      <w:r w:rsidRPr="006C576D">
        <w:rPr>
          <w:rFonts w:asciiTheme="minorHAnsi" w:hAnsiTheme="minorHAnsi"/>
          <w:b/>
          <w:bCs/>
          <w:color w:val="000000" w:themeColor="text1"/>
          <w:u w:val="single"/>
        </w:rPr>
        <w:t>Aims and Objectives</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 xml:space="preserve">With its vision of transforming the conveyancing industry to reflect the demographics of South Africa, the BCA association had to accept that the key to unlocking this vision remains education. </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The objective for the BCA is to deliver on its socio-political mandate within a context of improving the excellence and sustainability of the member firms thereby achieving intellectual growth and endless potential. </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It remains the aim of the BCA to ensure that its members have access to educational platforms that are supported by all the leading role players in the industry thereby ensuring mutually beneficial partnerships and ultimately providing a world-class service to our clients, the banks.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Continuous training and skills enhancement remains key to any conveyancing practise and further serves to enhance the overall experience to achieving our targets and goals.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The aim of the conveyancing paralegal course is twofold. Firstly, it is driven by a passion to empower individuals to enter the property practitioner’s employment market and secondly, is committed to maintaining high standards of service delivery within the conveyancing industry, for the benefit of consumers and the industry at large.</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Course description and scope of the training programme</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 xml:space="preserve">Over a six-month period, students are introduced to the conveyancing landscape.  Students are provided with a good working knowledge and understanding of what conveyancing is all about; whom the role-players are and how their interaction proceeds; what the conveyancing and registration process aims to achieve; and an overview of what the transfer, bond and cancellation process entails. </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Cs/>
          <w:color w:val="000000" w:themeColor="text1"/>
        </w:rPr>
      </w:pPr>
      <w:r w:rsidRPr="006C576D">
        <w:rPr>
          <w:rFonts w:asciiTheme="minorHAnsi" w:hAnsiTheme="minorHAnsi"/>
          <w:b/>
          <w:bCs/>
          <w:color w:val="000000" w:themeColor="text1"/>
          <w:u w:val="single"/>
        </w:rPr>
        <w:t>Course overview and learning outcomes include the following</w:t>
      </w:r>
      <w:r w:rsidRPr="006C576D">
        <w:rPr>
          <w:rFonts w:asciiTheme="minorHAnsi" w:hAnsiTheme="minorHAnsi"/>
          <w:bCs/>
          <w:color w:val="000000" w:themeColor="text1"/>
        </w:rPr>
        <w:t>:</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To describe what conveyancing is about.</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To distinguish between Immovable property, ownership and real rights.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The different faces of property ownership: freehold, leasehold and sectional titles.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 xml:space="preserve">The South African deeds registration system. </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To identify the role-players in the transfer process, the receiving and processing of a transfer instruction.</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Agreements: Terminology, legal principles and practice.</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To demonstrate an understanding of the Common clauses in a property sale agreement.</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To interpret and deeds office printouts and deeds searches.</w:t>
      </w:r>
    </w:p>
    <w:p w:rsidR="00DB00B8" w:rsidRPr="006C576D" w:rsidRDefault="00DB00B8" w:rsidP="00DB00B8">
      <w:pPr>
        <w:pStyle w:val="NoSpacing"/>
        <w:ind w:left="720"/>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lastRenderedPageBreak/>
        <w:t>Illustrate an understanding of The FICA and its implications for conveyancing transactions.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 xml:space="preserve">Communicating with the role-players at the outset of the transfer. </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The legal nature of clients’ Marriage law and conveyancing.</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Summarize legal entities such as companies, close corporations, trusts and partnerships.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Discuss the monitoring, reporting, drafting and signing of transfer documents.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Analyse and interpret the managing the finances in the transfer file, including Transfer duty / VAT rates and levy clearance and including compliance certificates.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Introduction to mortgage bonds, including the drafting of bond documents.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Compare the Different types of bonds.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Review the Cancellation of mortgage bonds.</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Discuss the Consumer Protection Act and a brief summary of the National Credit Act from a conveyancing perspective.</w:t>
      </w:r>
    </w:p>
    <w:p w:rsidR="00DB00B8" w:rsidRPr="006C576D" w:rsidRDefault="00DB00B8" w:rsidP="00DB00B8">
      <w:pPr>
        <w:pStyle w:val="NoSpacing"/>
        <w:numPr>
          <w:ilvl w:val="0"/>
          <w:numId w:val="1"/>
        </w:numPr>
        <w:rPr>
          <w:rFonts w:asciiTheme="minorHAnsi" w:hAnsiTheme="minorHAnsi"/>
          <w:color w:val="000000" w:themeColor="text1"/>
        </w:rPr>
      </w:pPr>
      <w:r w:rsidRPr="006C576D">
        <w:rPr>
          <w:rFonts w:asciiTheme="minorHAnsi" w:hAnsiTheme="minorHAnsi"/>
          <w:color w:val="000000" w:themeColor="text1"/>
        </w:rPr>
        <w:t>We also have practical sessions with Lexis® Convey (formerly known as GhostConvey) tr</w:t>
      </w:r>
      <w:r>
        <w:rPr>
          <w:rFonts w:asciiTheme="minorHAnsi" w:hAnsiTheme="minorHAnsi"/>
          <w:color w:val="000000" w:themeColor="text1"/>
        </w:rPr>
        <w:t>ainers who take the students th</w:t>
      </w:r>
      <w:r w:rsidRPr="006C576D">
        <w:rPr>
          <w:rFonts w:asciiTheme="minorHAnsi" w:hAnsiTheme="minorHAnsi"/>
          <w:color w:val="000000" w:themeColor="text1"/>
        </w:rPr>
        <w:t>rough the capturing of a “</w:t>
      </w:r>
      <w:r w:rsidRPr="006C576D">
        <w:rPr>
          <w:rFonts w:asciiTheme="minorHAnsi" w:hAnsiTheme="minorHAnsi"/>
          <w:i/>
          <w:color w:val="000000" w:themeColor="text1"/>
        </w:rPr>
        <w:t>typical</w:t>
      </w:r>
      <w:r w:rsidRPr="006C576D">
        <w:rPr>
          <w:rFonts w:asciiTheme="minorHAnsi" w:hAnsiTheme="minorHAnsi"/>
          <w:color w:val="000000" w:themeColor="text1"/>
        </w:rPr>
        <w:t xml:space="preserve">” transfer and bond on </w:t>
      </w:r>
    </w:p>
    <w:p w:rsidR="00DB00B8" w:rsidRPr="006C576D" w:rsidRDefault="00DB00B8" w:rsidP="00DB00B8">
      <w:pPr>
        <w:pStyle w:val="NoSpacing"/>
        <w:ind w:left="720"/>
        <w:rPr>
          <w:rFonts w:asciiTheme="minorHAnsi" w:hAnsiTheme="minorHAnsi"/>
          <w:color w:val="000000" w:themeColor="text1"/>
        </w:rPr>
      </w:pPr>
      <w:r w:rsidRPr="006C576D">
        <w:rPr>
          <w:rFonts w:asciiTheme="minorHAnsi" w:hAnsiTheme="minorHAnsi"/>
          <w:color w:val="000000" w:themeColor="text1"/>
        </w:rPr>
        <w:t>Lexis ®Convey software.</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b/>
          <w:bCs/>
          <w:color w:val="000000" w:themeColor="text1"/>
          <w:u w:val="single"/>
        </w:rPr>
        <w:t xml:space="preserve">Methodology </w:t>
      </w:r>
      <w:r w:rsidRPr="006C576D">
        <w:rPr>
          <w:rFonts w:asciiTheme="minorHAnsi" w:hAnsiTheme="minorHAnsi"/>
          <w:color w:val="000000" w:themeColor="text1"/>
        </w:rPr>
        <w:br/>
        <w:t>The course is formally lectured (face-to-face delivery). Student interaction and participation is encouraged by way of formal assignments, quick self-tests, formal tests, case studies and occasional role-play situations and self-study. On-going assessment (formal and informal) take place in order to ensure the students keep up with the pace .The students are required to write a final examination at the end of the course.</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Lecturing Staff</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Our lecturers are all members of the BCA group, all Conveyancers who run their own law practices and bring with them a wealth of knowledge and practical work experience to our students.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Course Dates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 xml:space="preserve">Registrations close:                 </w:t>
      </w:r>
      <w:r>
        <w:rPr>
          <w:rFonts w:asciiTheme="minorHAnsi" w:hAnsiTheme="minorHAnsi"/>
          <w:b/>
          <w:color w:val="000000" w:themeColor="text1"/>
        </w:rPr>
        <w:t xml:space="preserve">Wednesday, </w:t>
      </w:r>
      <w:r w:rsidRPr="006C576D">
        <w:rPr>
          <w:rFonts w:asciiTheme="minorHAnsi" w:hAnsiTheme="minorHAnsi"/>
          <w:b/>
          <w:color w:val="000000" w:themeColor="text1"/>
        </w:rPr>
        <w:t>18</w:t>
      </w:r>
      <w:r>
        <w:rPr>
          <w:rFonts w:asciiTheme="minorHAnsi" w:hAnsiTheme="minorHAnsi"/>
          <w:b/>
          <w:color w:val="000000" w:themeColor="text1"/>
        </w:rPr>
        <w:t xml:space="preserve"> March 2020</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Course starts:        </w:t>
      </w:r>
      <w:r>
        <w:rPr>
          <w:rFonts w:asciiTheme="minorHAnsi" w:hAnsiTheme="minorHAnsi"/>
          <w:color w:val="000000" w:themeColor="text1"/>
        </w:rPr>
        <w:t>                   Wednesday, 1 April 2020</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Course ends:          </w:t>
      </w:r>
      <w:r>
        <w:rPr>
          <w:rFonts w:asciiTheme="minorHAnsi" w:hAnsiTheme="minorHAnsi"/>
          <w:color w:val="000000" w:themeColor="text1"/>
        </w:rPr>
        <w:t>                   Wednesday, 28</w:t>
      </w:r>
      <w:r w:rsidRPr="006C576D">
        <w:rPr>
          <w:rFonts w:asciiTheme="minorHAnsi" w:hAnsiTheme="minorHAnsi"/>
          <w:color w:val="000000" w:themeColor="text1"/>
        </w:rPr>
        <w:t xml:space="preserve"> </w:t>
      </w:r>
      <w:r>
        <w:rPr>
          <w:rFonts w:asciiTheme="minorHAnsi" w:hAnsiTheme="minorHAnsi"/>
          <w:color w:val="000000" w:themeColor="text1"/>
        </w:rPr>
        <w:t>October 2020</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jc w:val="both"/>
        <w:rPr>
          <w:rFonts w:asciiTheme="minorHAnsi" w:hAnsiTheme="minorHAnsi"/>
          <w:color w:val="000000" w:themeColor="text1"/>
        </w:rPr>
      </w:pPr>
      <w:r w:rsidRPr="006C576D">
        <w:rPr>
          <w:rFonts w:asciiTheme="minorHAnsi" w:hAnsiTheme="minorHAnsi"/>
          <w:b/>
          <w:bCs/>
          <w:color w:val="000000" w:themeColor="text1"/>
          <w:u w:val="single"/>
        </w:rPr>
        <w:t>Sessions</w:t>
      </w:r>
      <w:r w:rsidRPr="006C576D">
        <w:rPr>
          <w:rFonts w:asciiTheme="minorHAnsi" w:hAnsiTheme="minorHAnsi"/>
          <w:b/>
          <w:color w:val="000000" w:themeColor="text1"/>
        </w:rPr>
        <w:t xml:space="preserve">  </w:t>
      </w:r>
      <w:r w:rsidRPr="006C576D">
        <w:rPr>
          <w:rFonts w:asciiTheme="minorHAnsi" w:hAnsiTheme="minorHAnsi"/>
          <w:color w:val="000000" w:themeColor="text1"/>
        </w:rPr>
        <w:t xml:space="preserve">                                Once a week, on a Wednesday from </w:t>
      </w:r>
    </w:p>
    <w:p w:rsidR="00DB00B8" w:rsidRPr="006C576D" w:rsidRDefault="00DB00B8" w:rsidP="00DB00B8">
      <w:pPr>
        <w:pStyle w:val="NoSpacing"/>
        <w:ind w:left="2160"/>
        <w:jc w:val="both"/>
        <w:rPr>
          <w:rFonts w:asciiTheme="minorHAnsi" w:hAnsiTheme="minorHAnsi"/>
          <w:color w:val="000000" w:themeColor="text1"/>
        </w:rPr>
      </w:pPr>
      <w:r w:rsidRPr="006C576D">
        <w:rPr>
          <w:rFonts w:asciiTheme="minorHAnsi" w:hAnsiTheme="minorHAnsi"/>
          <w:color w:val="000000" w:themeColor="text1"/>
        </w:rPr>
        <w:t xml:space="preserve"> </w:t>
      </w:r>
      <w:r w:rsidR="00956ED4">
        <w:rPr>
          <w:rFonts w:asciiTheme="minorHAnsi" w:hAnsiTheme="minorHAnsi"/>
          <w:color w:val="000000" w:themeColor="text1"/>
        </w:rPr>
        <w:t xml:space="preserve"> </w:t>
      </w:r>
      <w:bookmarkStart w:id="0" w:name="_GoBack"/>
      <w:bookmarkEnd w:id="0"/>
      <w:r>
        <w:rPr>
          <w:rFonts w:asciiTheme="minorHAnsi" w:hAnsiTheme="minorHAnsi"/>
          <w:color w:val="000000" w:themeColor="text1"/>
        </w:rPr>
        <w:t xml:space="preserve">   </w:t>
      </w:r>
      <w:r w:rsidRPr="006C576D">
        <w:rPr>
          <w:rFonts w:asciiTheme="minorHAnsi" w:hAnsiTheme="minorHAnsi"/>
          <w:color w:val="000000" w:themeColor="text1"/>
        </w:rPr>
        <w:t xml:space="preserve"> 2 pm-5 pm (Cape Town and Port Elizabeth)</w:t>
      </w:r>
    </w:p>
    <w:p w:rsidR="00DB00B8" w:rsidRPr="006C576D" w:rsidRDefault="00DB00B8" w:rsidP="00DB00B8">
      <w:pPr>
        <w:pStyle w:val="NoSpacing"/>
        <w:jc w:val="both"/>
        <w:rPr>
          <w:rFonts w:asciiTheme="minorHAnsi" w:hAnsiTheme="minorHAnsi"/>
          <w:color w:val="000000" w:themeColor="text1"/>
        </w:rPr>
      </w:pPr>
      <w:r w:rsidRPr="006C576D">
        <w:rPr>
          <w:rFonts w:asciiTheme="minorHAnsi" w:hAnsiTheme="minorHAnsi"/>
          <w:color w:val="000000" w:themeColor="text1"/>
        </w:rPr>
        <w:t>                                                 1 pm-4 pm (Durban and Johannesburg)</w:t>
      </w:r>
    </w:p>
    <w:p w:rsidR="00DB00B8" w:rsidRPr="006C576D" w:rsidRDefault="00DB00B8" w:rsidP="00DB00B8">
      <w:pPr>
        <w:pStyle w:val="NoSpacing"/>
        <w:jc w:val="both"/>
        <w:rPr>
          <w:rFonts w:asciiTheme="minorHAnsi" w:hAnsiTheme="minorHAnsi"/>
          <w:color w:val="000000" w:themeColor="text1"/>
        </w:rPr>
      </w:pPr>
      <w:r w:rsidRPr="006C576D">
        <w:rPr>
          <w:rFonts w:asciiTheme="minorHAnsi" w:hAnsiTheme="minorHAnsi"/>
          <w:color w:val="000000" w:themeColor="text1"/>
        </w:rPr>
        <w:t>                                                 3-hour sessions</w:t>
      </w:r>
    </w:p>
    <w:p w:rsidR="00DB00B8" w:rsidRPr="006C576D" w:rsidRDefault="00DB00B8" w:rsidP="00DB00B8">
      <w:pPr>
        <w:pStyle w:val="NoSpacing"/>
        <w:jc w:val="both"/>
        <w:rPr>
          <w:rFonts w:asciiTheme="minorHAnsi" w:hAnsiTheme="minorHAnsi"/>
          <w:color w:val="000000" w:themeColor="text1"/>
        </w:rPr>
      </w:pPr>
      <w:r w:rsidRPr="006C576D">
        <w:rPr>
          <w:rFonts w:asciiTheme="minorHAnsi" w:hAnsiTheme="minorHAnsi"/>
          <w:color w:val="000000" w:themeColor="text1"/>
        </w:rPr>
        <w:t>                                                 +/-7 month course</w:t>
      </w:r>
    </w:p>
    <w:p w:rsidR="00DB00B8" w:rsidRDefault="00DB00B8" w:rsidP="00DB00B8">
      <w:pPr>
        <w:pStyle w:val="NoSpacing"/>
        <w:jc w:val="both"/>
        <w:rPr>
          <w:rFonts w:asciiTheme="minorHAnsi" w:hAnsiTheme="minorHAnsi"/>
          <w:color w:val="000000" w:themeColor="text1"/>
        </w:rPr>
      </w:pPr>
    </w:p>
    <w:p w:rsidR="00DB00B8" w:rsidRPr="006C576D" w:rsidRDefault="00DB00B8" w:rsidP="00DB00B8">
      <w:pPr>
        <w:pStyle w:val="NoSpacing"/>
        <w:jc w:val="both"/>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u w:val="single"/>
        </w:rPr>
      </w:pPr>
      <w:r>
        <w:rPr>
          <w:rFonts w:asciiTheme="minorHAnsi" w:hAnsiTheme="minorHAnsi"/>
          <w:b/>
          <w:color w:val="000000" w:themeColor="text1"/>
          <w:u w:val="single"/>
        </w:rPr>
        <w:t>Course V</w:t>
      </w:r>
      <w:r w:rsidRPr="006C576D">
        <w:rPr>
          <w:rFonts w:asciiTheme="minorHAnsi" w:hAnsiTheme="minorHAnsi"/>
          <w:b/>
          <w:color w:val="000000" w:themeColor="text1"/>
          <w:u w:val="single"/>
        </w:rPr>
        <w:t>enues</w:t>
      </w:r>
    </w:p>
    <w:p w:rsidR="00DB00B8" w:rsidRPr="006C576D" w:rsidRDefault="00DB00B8" w:rsidP="00DB00B8">
      <w:pPr>
        <w:pStyle w:val="NoSpacing"/>
        <w:rPr>
          <w:rFonts w:asciiTheme="minorHAnsi" w:hAnsiTheme="minorHAnsi"/>
          <w:color w:val="000000" w:themeColor="text1"/>
          <w:u w:val="single"/>
        </w:rPr>
      </w:pPr>
    </w:p>
    <w:tbl>
      <w:tblPr>
        <w:tblStyle w:val="TableGrid"/>
        <w:tblW w:w="0" w:type="auto"/>
        <w:tblLook w:val="04A0" w:firstRow="1" w:lastRow="0" w:firstColumn="1" w:lastColumn="0" w:noHBand="0" w:noVBand="1"/>
      </w:tblPr>
      <w:tblGrid>
        <w:gridCol w:w="2093"/>
        <w:gridCol w:w="7149"/>
      </w:tblGrid>
      <w:tr w:rsidR="00DB00B8" w:rsidRPr="006C576D" w:rsidTr="009C028B">
        <w:tc>
          <w:tcPr>
            <w:tcW w:w="2093" w:type="dxa"/>
          </w:tcPr>
          <w:p w:rsidR="00DB00B8" w:rsidRPr="006C576D" w:rsidRDefault="00DB00B8" w:rsidP="009C028B">
            <w:pPr>
              <w:pStyle w:val="NoSpacing"/>
              <w:rPr>
                <w:rFonts w:asciiTheme="minorHAnsi" w:hAnsiTheme="minorHAnsi"/>
                <w:color w:val="000000" w:themeColor="text1"/>
              </w:rPr>
            </w:pPr>
            <w:r w:rsidRPr="006C576D">
              <w:rPr>
                <w:rFonts w:asciiTheme="minorHAnsi" w:hAnsiTheme="minorHAnsi"/>
                <w:color w:val="000000" w:themeColor="text1"/>
              </w:rPr>
              <w:t xml:space="preserve">Cape Town </w:t>
            </w:r>
          </w:p>
        </w:tc>
        <w:tc>
          <w:tcPr>
            <w:tcW w:w="7149" w:type="dxa"/>
          </w:tcPr>
          <w:p w:rsidR="00DB00B8" w:rsidRPr="006C576D" w:rsidRDefault="00DB00B8" w:rsidP="009C028B">
            <w:pPr>
              <w:pStyle w:val="NoSpacing"/>
              <w:rPr>
                <w:rFonts w:asciiTheme="minorHAnsi" w:hAnsiTheme="minorHAnsi"/>
                <w:color w:val="000000" w:themeColor="text1"/>
              </w:rPr>
            </w:pPr>
            <w:r w:rsidRPr="006C576D">
              <w:rPr>
                <w:rFonts w:asciiTheme="minorHAnsi" w:hAnsiTheme="minorHAnsi"/>
                <w:color w:val="000000" w:themeColor="text1"/>
                <w:lang w:val="en-US"/>
              </w:rPr>
              <w:t xml:space="preserve">Great Westerford, 240 Main Road, </w:t>
            </w:r>
            <w:r w:rsidRPr="006C576D">
              <w:rPr>
                <w:rFonts w:asciiTheme="minorHAnsi" w:hAnsiTheme="minorHAnsi"/>
                <w:b/>
                <w:color w:val="000000" w:themeColor="text1"/>
                <w:lang w:val="en-US"/>
              </w:rPr>
              <w:t>Rondebosch</w:t>
            </w:r>
          </w:p>
        </w:tc>
      </w:tr>
      <w:tr w:rsidR="00DB00B8" w:rsidRPr="006C576D" w:rsidTr="009C028B">
        <w:tc>
          <w:tcPr>
            <w:tcW w:w="2093" w:type="dxa"/>
          </w:tcPr>
          <w:p w:rsidR="00DB00B8" w:rsidRPr="006C576D" w:rsidRDefault="00DB00B8" w:rsidP="009C028B">
            <w:pPr>
              <w:pStyle w:val="NoSpacing"/>
              <w:rPr>
                <w:rFonts w:asciiTheme="minorHAnsi" w:hAnsiTheme="minorHAnsi"/>
                <w:color w:val="000000" w:themeColor="text1"/>
              </w:rPr>
            </w:pPr>
            <w:r w:rsidRPr="006C576D">
              <w:rPr>
                <w:rFonts w:asciiTheme="minorHAnsi" w:hAnsiTheme="minorHAnsi"/>
                <w:color w:val="000000" w:themeColor="text1"/>
              </w:rPr>
              <w:t xml:space="preserve">Durban </w:t>
            </w:r>
          </w:p>
        </w:tc>
        <w:tc>
          <w:tcPr>
            <w:tcW w:w="7149" w:type="dxa"/>
          </w:tcPr>
          <w:p w:rsidR="00DB00B8" w:rsidRPr="00DB00B8" w:rsidRDefault="00DB00B8" w:rsidP="00DB00B8">
            <w:pPr>
              <w:autoSpaceDE w:val="0"/>
              <w:autoSpaceDN w:val="0"/>
            </w:pPr>
            <w:r w:rsidRPr="00DB00B8">
              <w:rPr>
                <w:lang w:eastAsia="en-ZA"/>
              </w:rPr>
              <w:t>215 Peter Mokaba Road</w:t>
            </w:r>
            <w:r>
              <w:t>,</w:t>
            </w:r>
            <w:r w:rsidRPr="00DB00B8">
              <w:rPr>
                <w:lang w:eastAsia="en-ZA"/>
              </w:rPr>
              <w:t>Morningside</w:t>
            </w:r>
            <w:r>
              <w:t>,</w:t>
            </w:r>
            <w:r w:rsidRPr="00DB00B8">
              <w:rPr>
                <w:b/>
                <w:lang w:eastAsia="en-ZA"/>
              </w:rPr>
              <w:t>Durban</w:t>
            </w:r>
          </w:p>
        </w:tc>
      </w:tr>
      <w:tr w:rsidR="00DB00B8" w:rsidRPr="006C576D" w:rsidTr="009C028B">
        <w:tc>
          <w:tcPr>
            <w:tcW w:w="2093" w:type="dxa"/>
          </w:tcPr>
          <w:p w:rsidR="00DB00B8" w:rsidRPr="006C576D" w:rsidRDefault="00DB00B8" w:rsidP="009C028B">
            <w:pPr>
              <w:pStyle w:val="NoSpacing"/>
              <w:rPr>
                <w:rFonts w:asciiTheme="minorHAnsi" w:hAnsiTheme="minorHAnsi"/>
                <w:color w:val="000000" w:themeColor="text1"/>
              </w:rPr>
            </w:pPr>
            <w:r w:rsidRPr="006C576D">
              <w:rPr>
                <w:rFonts w:asciiTheme="minorHAnsi" w:hAnsiTheme="minorHAnsi"/>
                <w:color w:val="000000" w:themeColor="text1"/>
              </w:rPr>
              <w:t>Johannesburg</w:t>
            </w:r>
          </w:p>
        </w:tc>
        <w:tc>
          <w:tcPr>
            <w:tcW w:w="7149" w:type="dxa"/>
          </w:tcPr>
          <w:p w:rsidR="00DB00B8" w:rsidRPr="006C576D" w:rsidRDefault="00DB00B8" w:rsidP="009C028B">
            <w:pPr>
              <w:rPr>
                <w:color w:val="000000" w:themeColor="text1"/>
              </w:rPr>
            </w:pPr>
            <w:r w:rsidRPr="006C576D">
              <w:rPr>
                <w:color w:val="000000" w:themeColor="text1"/>
              </w:rPr>
              <w:t>21 Woodlands Drive, Building 8 Country Club Estate,</w:t>
            </w:r>
            <w:r w:rsidRPr="006C576D">
              <w:rPr>
                <w:b/>
                <w:color w:val="000000" w:themeColor="text1"/>
              </w:rPr>
              <w:t>Woodmead</w:t>
            </w:r>
          </w:p>
        </w:tc>
      </w:tr>
      <w:tr w:rsidR="00DB00B8" w:rsidRPr="006C576D" w:rsidTr="009C028B">
        <w:tc>
          <w:tcPr>
            <w:tcW w:w="2093" w:type="dxa"/>
          </w:tcPr>
          <w:p w:rsidR="00DB00B8" w:rsidRPr="006C576D" w:rsidRDefault="00DB00B8" w:rsidP="009C028B">
            <w:pPr>
              <w:pStyle w:val="NoSpacing"/>
              <w:rPr>
                <w:rFonts w:asciiTheme="minorHAnsi" w:hAnsiTheme="minorHAnsi"/>
                <w:color w:val="000000" w:themeColor="text1"/>
              </w:rPr>
            </w:pPr>
            <w:r w:rsidRPr="006C576D">
              <w:rPr>
                <w:rFonts w:asciiTheme="minorHAnsi" w:hAnsiTheme="minorHAnsi"/>
                <w:color w:val="000000" w:themeColor="text1"/>
              </w:rPr>
              <w:t xml:space="preserve">Port Elizabeth </w:t>
            </w:r>
          </w:p>
        </w:tc>
        <w:tc>
          <w:tcPr>
            <w:tcW w:w="7149" w:type="dxa"/>
          </w:tcPr>
          <w:p w:rsidR="00DB00B8" w:rsidRPr="006C576D" w:rsidRDefault="00DB00B8" w:rsidP="009C028B">
            <w:pPr>
              <w:pStyle w:val="NoSpacing"/>
              <w:rPr>
                <w:rFonts w:asciiTheme="minorHAnsi" w:hAnsiTheme="minorHAnsi"/>
                <w:color w:val="000000" w:themeColor="text1"/>
                <w:u w:val="single"/>
              </w:rPr>
            </w:pPr>
            <w:r w:rsidRPr="006C576D">
              <w:rPr>
                <w:rFonts w:asciiTheme="minorHAnsi" w:hAnsiTheme="minorHAnsi"/>
                <w:color w:val="000000" w:themeColor="text1"/>
                <w:lang w:val="en-US"/>
              </w:rPr>
              <w:t xml:space="preserve">1st Floor, Harbour View Building, Oakworth Road, </w:t>
            </w:r>
            <w:r w:rsidRPr="006C576D">
              <w:rPr>
                <w:rFonts w:asciiTheme="minorHAnsi" w:hAnsiTheme="minorHAnsi"/>
                <w:b/>
                <w:color w:val="000000" w:themeColor="text1"/>
                <w:lang w:val="en-US"/>
              </w:rPr>
              <w:t>Humewood</w:t>
            </w:r>
          </w:p>
        </w:tc>
      </w:tr>
    </w:tbl>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Course Textbook</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 xml:space="preserve">Our textbook is the “ABC of Conveyancing” – Authors, M Botha and L Kilbourn </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b/>
          <w:bCs/>
          <w:color w:val="000000" w:themeColor="text1"/>
          <w:u w:val="single"/>
        </w:rPr>
        <w:t>About this Publication</w:t>
      </w: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 xml:space="preserve">This publication deals with all aspects of conveyancing without pre-supposing any previous knowledge of conveyancing. </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The author, who runs a training institute for conveyancing secretaries, carefully explains all concepts and provides a step-by-step explanation through the conveyancing process.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Apart from numerous examples, each chapter provides an overview of the learning outcomes as well as a ‘test yourself’ section.   All steps in the conveyancing process are illustrated with samples of documents, forms and precedents.</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rPr>
      </w:pPr>
      <w:r w:rsidRPr="006C576D">
        <w:rPr>
          <w:rFonts w:asciiTheme="minorHAnsi" w:hAnsiTheme="minorHAnsi"/>
          <w:color w:val="000000" w:themeColor="text1"/>
        </w:rPr>
        <w:t xml:space="preserve">The textbook retails for approximately R 1 500 from Juta Publications and </w:t>
      </w:r>
      <w:r w:rsidRPr="006C576D">
        <w:rPr>
          <w:rFonts w:asciiTheme="minorHAnsi" w:hAnsiTheme="minorHAnsi"/>
          <w:b/>
          <w:color w:val="000000" w:themeColor="text1"/>
        </w:rPr>
        <w:t>is included in the current course fee</w:t>
      </w:r>
      <w:r>
        <w:rPr>
          <w:rFonts w:asciiTheme="minorHAnsi" w:hAnsiTheme="minorHAnsi"/>
          <w:b/>
          <w:color w:val="000000" w:themeColor="text1"/>
        </w:rPr>
        <w:t xml:space="preserve"> of R 5 000.</w:t>
      </w:r>
    </w:p>
    <w:p w:rsidR="00DB00B8" w:rsidRPr="006C576D" w:rsidRDefault="00DB00B8" w:rsidP="00DB00B8">
      <w:pPr>
        <w:pStyle w:val="NoSpacing"/>
        <w:rPr>
          <w:rFonts w:asciiTheme="minorHAnsi" w:hAnsiTheme="minorHAnsi"/>
          <w:b/>
          <w:bCs/>
          <w:color w:val="000000" w:themeColor="text1"/>
          <w:u w:val="single"/>
        </w:rPr>
      </w:pPr>
    </w:p>
    <w:p w:rsidR="00DB00B8" w:rsidRPr="006C576D" w:rsidRDefault="00DB00B8" w:rsidP="00DB00B8">
      <w:pPr>
        <w:pStyle w:val="NoSpacing"/>
        <w:rPr>
          <w:rFonts w:asciiTheme="minorHAnsi" w:hAnsiTheme="minorHAnsi"/>
          <w:b/>
          <w:bCs/>
          <w:color w:val="000000" w:themeColor="text1"/>
          <w:u w:val="single"/>
        </w:rPr>
      </w:pPr>
      <w:r w:rsidRPr="006C576D">
        <w:rPr>
          <w:rFonts w:asciiTheme="minorHAnsi" w:hAnsiTheme="minorHAnsi"/>
          <w:b/>
          <w:bCs/>
          <w:color w:val="000000" w:themeColor="text1"/>
          <w:u w:val="single"/>
        </w:rPr>
        <w:t xml:space="preserve">Payment </w:t>
      </w:r>
    </w:p>
    <w:p w:rsidR="00DB00B8" w:rsidRPr="006C576D" w:rsidRDefault="00DB00B8" w:rsidP="00DB00B8">
      <w:pPr>
        <w:pStyle w:val="NoSpacing"/>
        <w:rPr>
          <w:rFonts w:asciiTheme="minorHAnsi" w:hAnsiTheme="minorHAnsi"/>
          <w:b/>
          <w:bCs/>
          <w:color w:val="000000" w:themeColor="text1"/>
          <w:u w:val="single"/>
        </w:rPr>
      </w:pPr>
    </w:p>
    <w:p w:rsidR="00DB00B8" w:rsidRPr="006C576D" w:rsidRDefault="00DB00B8" w:rsidP="00DB00B8">
      <w:pPr>
        <w:pStyle w:val="NoSpacing"/>
        <w:rPr>
          <w:rFonts w:asciiTheme="minorHAnsi" w:hAnsiTheme="minorHAnsi"/>
          <w:bCs/>
          <w:color w:val="000000" w:themeColor="text1"/>
        </w:rPr>
      </w:pPr>
      <w:r w:rsidRPr="006C576D">
        <w:rPr>
          <w:rFonts w:asciiTheme="minorHAnsi" w:hAnsiTheme="minorHAnsi"/>
          <w:b/>
          <w:bCs/>
          <w:color w:val="000000" w:themeColor="text1"/>
        </w:rPr>
        <w:t>Course fee</w:t>
      </w:r>
      <w:r>
        <w:rPr>
          <w:rFonts w:asciiTheme="minorHAnsi" w:hAnsiTheme="minorHAnsi"/>
          <w:bCs/>
          <w:color w:val="000000" w:themeColor="text1"/>
        </w:rPr>
        <w:t xml:space="preserve">: R </w:t>
      </w:r>
      <w:r w:rsidRPr="006C576D">
        <w:rPr>
          <w:rFonts w:asciiTheme="minorHAnsi" w:hAnsiTheme="minorHAnsi"/>
          <w:bCs/>
          <w:color w:val="000000" w:themeColor="text1"/>
        </w:rPr>
        <w:t>5</w:t>
      </w:r>
      <w:r>
        <w:rPr>
          <w:rFonts w:asciiTheme="minorHAnsi" w:hAnsiTheme="minorHAnsi"/>
          <w:bCs/>
          <w:color w:val="000000" w:themeColor="text1"/>
        </w:rPr>
        <w:t xml:space="preserve"> </w:t>
      </w:r>
      <w:r w:rsidRPr="006C576D">
        <w:rPr>
          <w:rFonts w:asciiTheme="minorHAnsi" w:hAnsiTheme="minorHAnsi"/>
          <w:bCs/>
          <w:color w:val="000000" w:themeColor="text1"/>
        </w:rPr>
        <w:t>00</w:t>
      </w:r>
      <w:r>
        <w:rPr>
          <w:rFonts w:asciiTheme="minorHAnsi" w:hAnsiTheme="minorHAnsi"/>
          <w:bCs/>
          <w:color w:val="000000" w:themeColor="text1"/>
        </w:rPr>
        <w:t>0</w:t>
      </w:r>
    </w:p>
    <w:p w:rsidR="00DB00B8" w:rsidRPr="006C576D" w:rsidRDefault="00DB00B8" w:rsidP="00DB00B8">
      <w:pPr>
        <w:pStyle w:val="NoSpacing"/>
        <w:rPr>
          <w:rFonts w:asciiTheme="minorHAnsi" w:hAnsiTheme="minorHAnsi"/>
          <w:bCs/>
          <w:color w:val="000000" w:themeColor="text1"/>
        </w:rPr>
      </w:pPr>
    </w:p>
    <w:tbl>
      <w:tblPr>
        <w:tblW w:w="0" w:type="auto"/>
        <w:tblCellMar>
          <w:left w:w="0" w:type="dxa"/>
          <w:right w:w="0" w:type="dxa"/>
        </w:tblCellMar>
        <w:tblLook w:val="04A0" w:firstRow="1" w:lastRow="0" w:firstColumn="1" w:lastColumn="0" w:noHBand="0" w:noVBand="1"/>
      </w:tblPr>
      <w:tblGrid>
        <w:gridCol w:w="3936"/>
        <w:gridCol w:w="4677"/>
        <w:gridCol w:w="629"/>
      </w:tblGrid>
      <w:tr w:rsidR="00DB00B8" w:rsidRPr="006C576D" w:rsidTr="009C028B">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00B8" w:rsidRPr="006C576D" w:rsidRDefault="00DB00B8" w:rsidP="009C028B">
            <w:pPr>
              <w:pStyle w:val="NoSpacing"/>
              <w:rPr>
                <w:rFonts w:asciiTheme="minorHAnsi" w:hAnsiTheme="minorHAnsi"/>
                <w:b/>
                <w:bCs/>
                <w:color w:val="000000" w:themeColor="text1"/>
              </w:rPr>
            </w:pPr>
            <w:r w:rsidRPr="006C576D">
              <w:rPr>
                <w:rFonts w:asciiTheme="minorHAnsi" w:hAnsiTheme="minorHAnsi"/>
                <w:b/>
                <w:bCs/>
                <w:color w:val="000000" w:themeColor="text1"/>
              </w:rPr>
              <w:t>Option 1</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00B8" w:rsidRPr="006C576D" w:rsidRDefault="00DB00B8" w:rsidP="009C028B">
            <w:pPr>
              <w:pStyle w:val="NoSpacing"/>
              <w:rPr>
                <w:rFonts w:asciiTheme="minorHAnsi" w:hAnsiTheme="minorHAnsi"/>
                <w:b/>
                <w:bCs/>
                <w:color w:val="000000" w:themeColor="text1"/>
              </w:rPr>
            </w:pPr>
            <w:r w:rsidRPr="006C576D">
              <w:rPr>
                <w:rFonts w:asciiTheme="minorHAnsi" w:hAnsiTheme="minorHAnsi"/>
                <w:b/>
                <w:bCs/>
                <w:color w:val="000000" w:themeColor="text1"/>
              </w:rPr>
              <w:t>Option 2( deposit + monthly instalment)</w:t>
            </w:r>
          </w:p>
        </w:tc>
        <w:tc>
          <w:tcPr>
            <w:tcW w:w="6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B00B8" w:rsidRPr="006C576D" w:rsidRDefault="00DB00B8" w:rsidP="009C028B">
            <w:pPr>
              <w:pStyle w:val="NoSpacing"/>
              <w:rPr>
                <w:rFonts w:asciiTheme="minorHAnsi" w:hAnsiTheme="minorHAnsi"/>
                <w:bCs/>
                <w:color w:val="000000" w:themeColor="text1"/>
              </w:rPr>
            </w:pPr>
          </w:p>
        </w:tc>
      </w:tr>
      <w:tr w:rsidR="00DB00B8" w:rsidRPr="006C576D" w:rsidTr="009C028B">
        <w:trPr>
          <w:trHeight w:val="1001"/>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00B8" w:rsidRPr="006C576D" w:rsidRDefault="00DB00B8" w:rsidP="009C028B">
            <w:pPr>
              <w:pStyle w:val="NoSpacing"/>
              <w:rPr>
                <w:rFonts w:asciiTheme="minorHAnsi" w:hAnsiTheme="minorHAnsi"/>
                <w:bCs/>
                <w:color w:val="000000" w:themeColor="text1"/>
              </w:rPr>
            </w:pPr>
            <w:r w:rsidRPr="006C576D">
              <w:rPr>
                <w:rFonts w:asciiTheme="minorHAnsi" w:hAnsiTheme="minorHAnsi"/>
                <w:bCs/>
                <w:color w:val="000000" w:themeColor="text1"/>
              </w:rPr>
              <w:t>Once – off payment</w:t>
            </w:r>
          </w:p>
          <w:p w:rsidR="00DB00B8" w:rsidRPr="006C576D" w:rsidRDefault="00DB00B8" w:rsidP="009C028B">
            <w:pPr>
              <w:pStyle w:val="NoSpacing"/>
              <w:rPr>
                <w:rFonts w:asciiTheme="minorHAnsi" w:hAnsiTheme="minorHAnsi"/>
                <w:bCs/>
                <w:color w:val="000000" w:themeColor="text1"/>
              </w:rPr>
            </w:pPr>
            <w:r>
              <w:rPr>
                <w:rFonts w:asciiTheme="minorHAnsi" w:hAnsiTheme="minorHAnsi"/>
                <w:bCs/>
                <w:color w:val="000000" w:themeColor="text1"/>
              </w:rPr>
              <w:t>R 5 0</w:t>
            </w:r>
            <w:r w:rsidRPr="006C576D">
              <w:rPr>
                <w:rFonts w:asciiTheme="minorHAnsi" w:hAnsiTheme="minorHAnsi"/>
                <w:bCs/>
                <w:color w:val="000000" w:themeColor="text1"/>
              </w:rPr>
              <w:t xml:space="preserve">00  by the </w:t>
            </w:r>
            <w:r>
              <w:rPr>
                <w:rFonts w:asciiTheme="minorHAnsi" w:hAnsiTheme="minorHAnsi"/>
                <w:b/>
                <w:bCs/>
                <w:color w:val="000000" w:themeColor="text1"/>
              </w:rPr>
              <w:t>6 March 2019</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rsidR="00DB00B8" w:rsidRPr="006C576D" w:rsidRDefault="00DB00B8" w:rsidP="009C028B">
            <w:pPr>
              <w:pStyle w:val="NoSpacing"/>
              <w:rPr>
                <w:rFonts w:asciiTheme="minorHAnsi" w:hAnsiTheme="minorHAnsi"/>
                <w:bCs/>
                <w:color w:val="000000" w:themeColor="text1"/>
              </w:rPr>
            </w:pPr>
            <w:r>
              <w:rPr>
                <w:rFonts w:asciiTheme="minorHAnsi" w:hAnsiTheme="minorHAnsi"/>
                <w:bCs/>
                <w:color w:val="000000" w:themeColor="text1"/>
              </w:rPr>
              <w:t>Deposit R 1 0</w:t>
            </w:r>
            <w:r w:rsidRPr="006C576D">
              <w:rPr>
                <w:rFonts w:asciiTheme="minorHAnsi" w:hAnsiTheme="minorHAnsi"/>
                <w:bCs/>
                <w:color w:val="000000" w:themeColor="text1"/>
              </w:rPr>
              <w:t xml:space="preserve">00  due by </w:t>
            </w:r>
            <w:r>
              <w:rPr>
                <w:rFonts w:asciiTheme="minorHAnsi" w:hAnsiTheme="minorHAnsi"/>
                <w:b/>
                <w:bCs/>
                <w:color w:val="000000" w:themeColor="text1"/>
              </w:rPr>
              <w:t>25 March 2020</w:t>
            </w:r>
          </w:p>
          <w:p w:rsidR="00DB00B8" w:rsidRPr="006C576D" w:rsidRDefault="00DB00B8" w:rsidP="009C028B">
            <w:pPr>
              <w:pStyle w:val="NoSpacing"/>
              <w:rPr>
                <w:rFonts w:asciiTheme="minorHAnsi" w:hAnsiTheme="minorHAnsi"/>
                <w:bCs/>
                <w:color w:val="000000" w:themeColor="text1"/>
              </w:rPr>
            </w:pPr>
            <w:r w:rsidRPr="006C576D">
              <w:rPr>
                <w:rFonts w:asciiTheme="minorHAnsi" w:hAnsiTheme="minorHAnsi"/>
                <w:bCs/>
                <w:color w:val="000000" w:themeColor="text1"/>
              </w:rPr>
              <w:t>1</w:t>
            </w:r>
            <w:r w:rsidRPr="006C576D">
              <w:rPr>
                <w:rFonts w:asciiTheme="minorHAnsi" w:hAnsiTheme="minorHAnsi"/>
                <w:bCs/>
                <w:color w:val="000000" w:themeColor="text1"/>
                <w:vertAlign w:val="superscript"/>
              </w:rPr>
              <w:t>st</w:t>
            </w:r>
            <w:r>
              <w:rPr>
                <w:rFonts w:asciiTheme="minorHAnsi" w:hAnsiTheme="minorHAnsi"/>
                <w:bCs/>
                <w:color w:val="000000" w:themeColor="text1"/>
              </w:rPr>
              <w:t xml:space="preserve"> instalment  R 800</w:t>
            </w:r>
            <w:r w:rsidRPr="006C576D">
              <w:rPr>
                <w:rFonts w:asciiTheme="minorHAnsi" w:hAnsiTheme="minorHAnsi"/>
                <w:bCs/>
                <w:color w:val="000000" w:themeColor="text1"/>
              </w:rPr>
              <w:t xml:space="preserve"> by </w:t>
            </w:r>
            <w:r>
              <w:rPr>
                <w:rFonts w:asciiTheme="minorHAnsi" w:hAnsiTheme="minorHAnsi"/>
                <w:bCs/>
                <w:color w:val="000000" w:themeColor="text1"/>
              </w:rPr>
              <w:t>25  April 2020</w:t>
            </w:r>
          </w:p>
          <w:p w:rsidR="00DB00B8" w:rsidRPr="006C576D" w:rsidRDefault="00DB00B8" w:rsidP="009C028B">
            <w:pPr>
              <w:pStyle w:val="NoSpacing"/>
              <w:rPr>
                <w:rFonts w:asciiTheme="minorHAnsi" w:hAnsiTheme="minorHAnsi"/>
                <w:bCs/>
                <w:color w:val="000000" w:themeColor="text1"/>
              </w:rPr>
            </w:pPr>
            <w:r w:rsidRPr="006C576D">
              <w:rPr>
                <w:rFonts w:asciiTheme="minorHAnsi" w:hAnsiTheme="minorHAnsi"/>
                <w:bCs/>
                <w:color w:val="000000" w:themeColor="text1"/>
              </w:rPr>
              <w:t>2</w:t>
            </w:r>
            <w:r w:rsidRPr="006C576D">
              <w:rPr>
                <w:rFonts w:asciiTheme="minorHAnsi" w:hAnsiTheme="minorHAnsi"/>
                <w:bCs/>
                <w:color w:val="000000" w:themeColor="text1"/>
                <w:vertAlign w:val="superscript"/>
              </w:rPr>
              <w:t>nd</w:t>
            </w:r>
            <w:r w:rsidRPr="006C576D">
              <w:rPr>
                <w:rFonts w:asciiTheme="minorHAnsi" w:hAnsiTheme="minorHAnsi"/>
                <w:bCs/>
                <w:color w:val="000000" w:themeColor="text1"/>
              </w:rPr>
              <w:t xml:space="preserve"> </w:t>
            </w:r>
            <w:r>
              <w:rPr>
                <w:rFonts w:asciiTheme="minorHAnsi" w:hAnsiTheme="minorHAnsi"/>
                <w:bCs/>
                <w:color w:val="000000" w:themeColor="text1"/>
              </w:rPr>
              <w:t>instalment R 800  by 25 May 2020</w:t>
            </w:r>
          </w:p>
          <w:p w:rsidR="00DB00B8" w:rsidRPr="006C576D" w:rsidRDefault="00DB00B8" w:rsidP="009C028B">
            <w:pPr>
              <w:pStyle w:val="NoSpacing"/>
              <w:rPr>
                <w:rFonts w:asciiTheme="minorHAnsi" w:hAnsiTheme="minorHAnsi"/>
                <w:bCs/>
                <w:color w:val="000000" w:themeColor="text1"/>
              </w:rPr>
            </w:pPr>
            <w:r w:rsidRPr="006C576D">
              <w:rPr>
                <w:rFonts w:asciiTheme="minorHAnsi" w:hAnsiTheme="minorHAnsi"/>
                <w:bCs/>
                <w:color w:val="000000" w:themeColor="text1"/>
              </w:rPr>
              <w:t>3</w:t>
            </w:r>
            <w:r w:rsidRPr="006C576D">
              <w:rPr>
                <w:rFonts w:asciiTheme="minorHAnsi" w:hAnsiTheme="minorHAnsi"/>
                <w:bCs/>
                <w:color w:val="000000" w:themeColor="text1"/>
                <w:vertAlign w:val="superscript"/>
              </w:rPr>
              <w:t>rd</w:t>
            </w:r>
            <w:r w:rsidRPr="006C576D">
              <w:rPr>
                <w:rFonts w:asciiTheme="minorHAnsi" w:hAnsiTheme="minorHAnsi"/>
                <w:bCs/>
                <w:color w:val="000000" w:themeColor="text1"/>
              </w:rPr>
              <w:t xml:space="preserve"> instalment R</w:t>
            </w:r>
            <w:r>
              <w:rPr>
                <w:rFonts w:asciiTheme="minorHAnsi" w:hAnsiTheme="minorHAnsi"/>
                <w:bCs/>
                <w:color w:val="000000" w:themeColor="text1"/>
              </w:rPr>
              <w:t xml:space="preserve"> 800 by 25  June 2020</w:t>
            </w:r>
          </w:p>
          <w:p w:rsidR="00DB00B8" w:rsidRDefault="00DB00B8" w:rsidP="009C028B">
            <w:pPr>
              <w:pStyle w:val="NoSpacing"/>
              <w:rPr>
                <w:rFonts w:asciiTheme="minorHAnsi" w:hAnsiTheme="minorHAnsi"/>
                <w:bCs/>
                <w:color w:val="000000" w:themeColor="text1"/>
              </w:rPr>
            </w:pPr>
            <w:r w:rsidRPr="006C576D">
              <w:rPr>
                <w:rFonts w:asciiTheme="minorHAnsi" w:hAnsiTheme="minorHAnsi"/>
                <w:bCs/>
                <w:color w:val="000000" w:themeColor="text1"/>
              </w:rPr>
              <w:t>4</w:t>
            </w:r>
            <w:r w:rsidRPr="006C576D">
              <w:rPr>
                <w:rFonts w:asciiTheme="minorHAnsi" w:hAnsiTheme="minorHAnsi"/>
                <w:bCs/>
                <w:color w:val="000000" w:themeColor="text1"/>
                <w:vertAlign w:val="superscript"/>
              </w:rPr>
              <w:t>th</w:t>
            </w:r>
            <w:r w:rsidRPr="006C576D">
              <w:rPr>
                <w:rFonts w:asciiTheme="minorHAnsi" w:hAnsiTheme="minorHAnsi"/>
                <w:bCs/>
                <w:color w:val="000000" w:themeColor="text1"/>
              </w:rPr>
              <w:t xml:space="preserve"> insta</w:t>
            </w:r>
            <w:r>
              <w:rPr>
                <w:rFonts w:asciiTheme="minorHAnsi" w:hAnsiTheme="minorHAnsi"/>
                <w:bCs/>
                <w:color w:val="000000" w:themeColor="text1"/>
              </w:rPr>
              <w:t>lment R 800</w:t>
            </w:r>
            <w:r w:rsidRPr="006C576D">
              <w:rPr>
                <w:rFonts w:asciiTheme="minorHAnsi" w:hAnsiTheme="minorHAnsi"/>
                <w:bCs/>
                <w:color w:val="000000" w:themeColor="text1"/>
              </w:rPr>
              <w:t xml:space="preserve"> by </w:t>
            </w:r>
            <w:r>
              <w:rPr>
                <w:rFonts w:asciiTheme="minorHAnsi" w:hAnsiTheme="minorHAnsi"/>
                <w:bCs/>
                <w:color w:val="000000" w:themeColor="text1"/>
              </w:rPr>
              <w:t>25 July 2020</w:t>
            </w:r>
          </w:p>
          <w:p w:rsidR="0047673D" w:rsidRPr="006C576D" w:rsidRDefault="0047673D" w:rsidP="009C028B">
            <w:pPr>
              <w:pStyle w:val="NoSpacing"/>
              <w:rPr>
                <w:rFonts w:asciiTheme="minorHAnsi" w:hAnsiTheme="minorHAnsi"/>
                <w:bCs/>
                <w:color w:val="000000" w:themeColor="text1"/>
              </w:rPr>
            </w:pPr>
            <w:r>
              <w:rPr>
                <w:rFonts w:asciiTheme="minorHAnsi" w:hAnsiTheme="minorHAnsi"/>
                <w:bCs/>
                <w:color w:val="000000" w:themeColor="text1"/>
              </w:rPr>
              <w:t>5</w:t>
            </w:r>
            <w:r w:rsidRPr="0047673D">
              <w:rPr>
                <w:rFonts w:asciiTheme="minorHAnsi" w:hAnsiTheme="minorHAnsi"/>
                <w:bCs/>
                <w:color w:val="000000" w:themeColor="text1"/>
                <w:vertAlign w:val="superscript"/>
              </w:rPr>
              <w:t>th</w:t>
            </w:r>
            <w:r>
              <w:rPr>
                <w:rFonts w:asciiTheme="minorHAnsi" w:hAnsiTheme="minorHAnsi"/>
                <w:bCs/>
                <w:color w:val="000000" w:themeColor="text1"/>
              </w:rPr>
              <w:t xml:space="preserve"> instalment R 800 by 25 August 2020</w:t>
            </w:r>
          </w:p>
        </w:tc>
        <w:tc>
          <w:tcPr>
            <w:tcW w:w="629" w:type="dxa"/>
            <w:tcBorders>
              <w:top w:val="nil"/>
              <w:left w:val="nil"/>
              <w:bottom w:val="single" w:sz="8" w:space="0" w:color="auto"/>
              <w:right w:val="single" w:sz="8" w:space="0" w:color="auto"/>
            </w:tcBorders>
            <w:tcMar>
              <w:top w:w="0" w:type="dxa"/>
              <w:left w:w="108" w:type="dxa"/>
              <w:bottom w:w="0" w:type="dxa"/>
              <w:right w:w="108" w:type="dxa"/>
            </w:tcMar>
          </w:tcPr>
          <w:p w:rsidR="00DB00B8" w:rsidRPr="006C576D" w:rsidRDefault="00DB00B8" w:rsidP="009C028B">
            <w:pPr>
              <w:pStyle w:val="NoSpacing"/>
              <w:rPr>
                <w:rFonts w:asciiTheme="minorHAnsi" w:hAnsiTheme="minorHAnsi"/>
                <w:bCs/>
                <w:color w:val="000000" w:themeColor="text1"/>
              </w:rPr>
            </w:pPr>
          </w:p>
        </w:tc>
      </w:tr>
    </w:tbl>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rPr>
          <w:rFonts w:asciiTheme="minorHAnsi" w:hAnsiTheme="minorHAnsi"/>
          <w:b/>
          <w:bCs/>
          <w:color w:val="000000" w:themeColor="text1"/>
          <w:u w:val="single"/>
        </w:rPr>
      </w:pPr>
      <w:r w:rsidRPr="006C576D">
        <w:rPr>
          <w:rFonts w:asciiTheme="minorHAnsi" w:hAnsiTheme="minorHAnsi"/>
          <w:b/>
          <w:bCs/>
          <w:color w:val="000000" w:themeColor="text1"/>
          <w:u w:val="single"/>
        </w:rPr>
        <w:t>Registration process</w:t>
      </w:r>
    </w:p>
    <w:p w:rsidR="00DB00B8" w:rsidRPr="006C576D" w:rsidRDefault="00DB00B8" w:rsidP="00DB00B8">
      <w:pPr>
        <w:pStyle w:val="NoSpacing"/>
        <w:rPr>
          <w:rFonts w:asciiTheme="minorHAnsi" w:hAnsiTheme="minorHAnsi"/>
          <w:bCs/>
          <w:color w:val="000000" w:themeColor="text1"/>
          <w:u w:val="single"/>
        </w:rPr>
      </w:pPr>
    </w:p>
    <w:p w:rsidR="00DB00B8" w:rsidRPr="006C576D" w:rsidRDefault="00DB00B8" w:rsidP="00DB00B8">
      <w:pPr>
        <w:pStyle w:val="NoSpacing"/>
        <w:numPr>
          <w:ilvl w:val="0"/>
          <w:numId w:val="2"/>
        </w:numPr>
        <w:rPr>
          <w:rFonts w:asciiTheme="minorHAnsi" w:hAnsiTheme="minorHAnsi"/>
          <w:color w:val="000000" w:themeColor="text1"/>
        </w:rPr>
      </w:pPr>
      <w:r w:rsidRPr="006C576D">
        <w:rPr>
          <w:rFonts w:asciiTheme="minorHAnsi" w:hAnsiTheme="minorHAnsi"/>
          <w:color w:val="000000" w:themeColor="text1"/>
        </w:rPr>
        <w:t xml:space="preserve">Any interested person/s may email the course facilitator directly at </w:t>
      </w:r>
      <w:hyperlink r:id="rId8" w:history="1">
        <w:r w:rsidRPr="006C576D">
          <w:rPr>
            <w:rStyle w:val="Hyperlink"/>
            <w:rFonts w:asciiTheme="minorHAnsi" w:hAnsiTheme="minorHAnsi"/>
            <w:color w:val="000000" w:themeColor="text1"/>
          </w:rPr>
          <w:t>tasneem@ourbestpractice.co.za</w:t>
        </w:r>
      </w:hyperlink>
      <w:r w:rsidRPr="006C576D">
        <w:rPr>
          <w:rFonts w:asciiTheme="minorHAnsi" w:hAnsiTheme="minorHAnsi"/>
          <w:color w:val="000000" w:themeColor="text1"/>
        </w:rPr>
        <w:t xml:space="preserve"> for an application form.</w:t>
      </w:r>
    </w:p>
    <w:p w:rsidR="00DB00B8" w:rsidRPr="006C576D" w:rsidRDefault="00DB00B8" w:rsidP="00DB00B8">
      <w:pPr>
        <w:pStyle w:val="NoSpacing"/>
        <w:numPr>
          <w:ilvl w:val="0"/>
          <w:numId w:val="2"/>
        </w:numPr>
        <w:rPr>
          <w:rFonts w:asciiTheme="minorHAnsi" w:hAnsiTheme="minorHAnsi"/>
          <w:color w:val="000000" w:themeColor="text1"/>
        </w:rPr>
      </w:pPr>
      <w:r w:rsidRPr="006C576D">
        <w:rPr>
          <w:rFonts w:asciiTheme="minorHAnsi" w:hAnsiTheme="minorHAnsi"/>
          <w:color w:val="000000" w:themeColor="text1"/>
        </w:rPr>
        <w:t>If the applicant is successful, BTA banking details will be forwarded to the student.</w:t>
      </w:r>
    </w:p>
    <w:p w:rsidR="00DB00B8" w:rsidRPr="006C576D" w:rsidRDefault="00DB00B8" w:rsidP="00DB00B8">
      <w:pPr>
        <w:pStyle w:val="NoSpacing"/>
        <w:numPr>
          <w:ilvl w:val="0"/>
          <w:numId w:val="2"/>
        </w:numPr>
        <w:rPr>
          <w:rFonts w:asciiTheme="minorHAnsi" w:hAnsiTheme="minorHAnsi"/>
          <w:color w:val="000000" w:themeColor="text1"/>
        </w:rPr>
      </w:pPr>
      <w:r w:rsidRPr="006C576D">
        <w:rPr>
          <w:rFonts w:asciiTheme="minorHAnsi" w:hAnsiTheme="minorHAnsi"/>
          <w:color w:val="000000" w:themeColor="text1"/>
        </w:rPr>
        <w:t xml:space="preserve">Once proof of payment has been received, an information pack is emailed to the student, which includes a lecture schedule, BTA course policy documents, venue map etc. </w:t>
      </w:r>
    </w:p>
    <w:p w:rsidR="00DB00B8" w:rsidRPr="006C576D" w:rsidRDefault="00DB00B8" w:rsidP="00DB00B8">
      <w:pPr>
        <w:pStyle w:val="NoSpacing"/>
        <w:numPr>
          <w:ilvl w:val="0"/>
          <w:numId w:val="2"/>
        </w:numPr>
        <w:rPr>
          <w:rFonts w:asciiTheme="minorHAnsi" w:hAnsiTheme="minorHAnsi"/>
          <w:b/>
          <w:color w:val="000000" w:themeColor="text1"/>
        </w:rPr>
      </w:pPr>
      <w:r w:rsidRPr="006C576D">
        <w:rPr>
          <w:rFonts w:asciiTheme="minorHAnsi" w:hAnsiTheme="minorHAnsi"/>
          <w:b/>
          <w:color w:val="000000" w:themeColor="text1"/>
        </w:rPr>
        <w:t xml:space="preserve">Registrations close </w:t>
      </w:r>
      <w:r w:rsidR="0047673D">
        <w:rPr>
          <w:rFonts w:asciiTheme="minorHAnsi" w:hAnsiTheme="minorHAnsi"/>
          <w:b/>
          <w:color w:val="000000" w:themeColor="text1"/>
        </w:rPr>
        <w:t>on Wednesday ,18 March 2020</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bCs/>
          <w:color w:val="000000" w:themeColor="text1"/>
          <w:u w:val="single"/>
        </w:rPr>
      </w:pPr>
      <w:r w:rsidRPr="006C576D">
        <w:rPr>
          <w:rFonts w:asciiTheme="minorHAnsi" w:hAnsiTheme="minorHAnsi"/>
          <w:b/>
          <w:bCs/>
          <w:color w:val="000000" w:themeColor="text1"/>
          <w:u w:val="single"/>
        </w:rPr>
        <w:t>BTA Cancellation Policy</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BTA shall have the right in its sole discretion to postpone or cancel the course on the basis of insufficient demand.</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color w:val="000000" w:themeColor="text1"/>
        </w:rPr>
      </w:pPr>
      <w:r w:rsidRPr="006C576D">
        <w:rPr>
          <w:rFonts w:asciiTheme="minorHAnsi" w:hAnsiTheme="minorHAnsi"/>
          <w:color w:val="000000" w:themeColor="text1"/>
        </w:rPr>
        <w:t>For any further information:</w:t>
      </w:r>
    </w:p>
    <w:p w:rsidR="00DB00B8" w:rsidRPr="006C576D" w:rsidRDefault="00DB00B8" w:rsidP="00DB00B8">
      <w:pPr>
        <w:pStyle w:val="NoSpacing"/>
        <w:rPr>
          <w:rFonts w:asciiTheme="minorHAnsi" w:hAnsiTheme="minorHAnsi"/>
          <w:color w:val="000000" w:themeColor="text1"/>
        </w:rPr>
      </w:pPr>
    </w:p>
    <w:p w:rsidR="00DB00B8" w:rsidRPr="006C576D" w:rsidRDefault="00DB00B8" w:rsidP="00DB00B8">
      <w:pPr>
        <w:pStyle w:val="NoSpacing"/>
        <w:rPr>
          <w:rFonts w:asciiTheme="minorHAnsi" w:hAnsiTheme="minorHAnsi"/>
          <w:b/>
          <w:color w:val="000000" w:themeColor="text1"/>
          <w:u w:val="single"/>
        </w:rPr>
      </w:pPr>
      <w:r w:rsidRPr="006C576D">
        <w:rPr>
          <w:rFonts w:asciiTheme="minorHAnsi" w:hAnsiTheme="minorHAnsi"/>
          <w:b/>
          <w:color w:val="000000" w:themeColor="text1"/>
          <w:u w:val="single"/>
        </w:rPr>
        <w:t xml:space="preserve">Contact </w:t>
      </w:r>
    </w:p>
    <w:p w:rsidR="00DB00B8" w:rsidRPr="006C576D" w:rsidRDefault="00DB00B8" w:rsidP="00DB00B8">
      <w:pPr>
        <w:pStyle w:val="NoSpacing"/>
        <w:rPr>
          <w:rFonts w:asciiTheme="minorHAnsi" w:hAnsiTheme="minorHAnsi"/>
          <w:color w:val="000000" w:themeColor="text1"/>
          <w:sz w:val="24"/>
          <w:szCs w:val="24"/>
        </w:rPr>
      </w:pPr>
      <w:r w:rsidRPr="006C576D">
        <w:rPr>
          <w:rFonts w:asciiTheme="minorHAnsi" w:hAnsiTheme="minorHAnsi"/>
          <w:color w:val="000000" w:themeColor="text1"/>
          <w:sz w:val="24"/>
          <w:szCs w:val="24"/>
        </w:rPr>
        <w:t>Tasneem Kanjee</w:t>
      </w:r>
    </w:p>
    <w:p w:rsidR="00DB00B8" w:rsidRPr="006C576D" w:rsidRDefault="00DB00B8" w:rsidP="00DB00B8">
      <w:pPr>
        <w:pStyle w:val="NoSpacing"/>
        <w:rPr>
          <w:rFonts w:asciiTheme="minorHAnsi" w:hAnsiTheme="minorHAnsi"/>
          <w:color w:val="000000" w:themeColor="text1"/>
          <w:sz w:val="24"/>
          <w:szCs w:val="24"/>
        </w:rPr>
      </w:pPr>
      <w:r w:rsidRPr="006C576D">
        <w:rPr>
          <w:rFonts w:asciiTheme="minorHAnsi" w:hAnsiTheme="minorHAnsi"/>
          <w:color w:val="000000" w:themeColor="text1"/>
          <w:sz w:val="24"/>
          <w:szCs w:val="24"/>
        </w:rPr>
        <w:t xml:space="preserve">National Course Facilitator </w:t>
      </w:r>
    </w:p>
    <w:p w:rsidR="00DB00B8" w:rsidRPr="006C576D" w:rsidRDefault="00DB00B8" w:rsidP="00DB00B8">
      <w:pPr>
        <w:pStyle w:val="NoSpacing"/>
        <w:rPr>
          <w:rFonts w:asciiTheme="minorHAnsi" w:hAnsiTheme="minorHAnsi"/>
          <w:color w:val="000000" w:themeColor="text1"/>
          <w:sz w:val="24"/>
          <w:szCs w:val="24"/>
        </w:rPr>
      </w:pPr>
      <w:r w:rsidRPr="006C576D">
        <w:rPr>
          <w:rFonts w:asciiTheme="minorHAnsi" w:hAnsiTheme="minorHAnsi"/>
          <w:color w:val="000000" w:themeColor="text1"/>
          <w:sz w:val="24"/>
          <w:szCs w:val="24"/>
        </w:rPr>
        <w:t xml:space="preserve">Email: </w:t>
      </w:r>
      <w:r w:rsidRPr="006C576D">
        <w:rPr>
          <w:rFonts w:asciiTheme="minorHAnsi" w:hAnsiTheme="minorHAnsi"/>
          <w:color w:val="000000" w:themeColor="text1"/>
          <w:sz w:val="24"/>
          <w:szCs w:val="24"/>
        </w:rPr>
        <w:tab/>
      </w:r>
      <w:r w:rsidRPr="006C576D">
        <w:rPr>
          <w:rFonts w:asciiTheme="minorHAnsi" w:hAnsiTheme="minorHAnsi"/>
          <w:color w:val="000000" w:themeColor="text1"/>
          <w:sz w:val="24"/>
          <w:szCs w:val="24"/>
        </w:rPr>
        <w:tab/>
        <w:t xml:space="preserve">  </w:t>
      </w:r>
      <w:hyperlink r:id="rId9" w:history="1">
        <w:r w:rsidRPr="006C576D">
          <w:rPr>
            <w:rStyle w:val="Hyperlink"/>
            <w:rFonts w:asciiTheme="minorHAnsi" w:hAnsiTheme="minorHAnsi"/>
            <w:b/>
            <w:color w:val="000000" w:themeColor="text1"/>
            <w:sz w:val="24"/>
            <w:szCs w:val="24"/>
            <w:u w:val="none"/>
          </w:rPr>
          <w:t>tasneem@ourbestpractice.co.za</w:t>
        </w:r>
      </w:hyperlink>
    </w:p>
    <w:p w:rsidR="00907A3D" w:rsidRPr="0047673D" w:rsidRDefault="00DB00B8" w:rsidP="0047673D">
      <w:pPr>
        <w:pStyle w:val="NoSpacing"/>
        <w:rPr>
          <w:rFonts w:asciiTheme="minorHAnsi" w:hAnsiTheme="minorHAnsi"/>
          <w:color w:val="000000" w:themeColor="text1"/>
          <w:sz w:val="24"/>
          <w:szCs w:val="24"/>
        </w:rPr>
      </w:pPr>
      <w:r w:rsidRPr="006C576D">
        <w:rPr>
          <w:rFonts w:asciiTheme="minorHAnsi" w:hAnsiTheme="minorHAnsi"/>
          <w:color w:val="000000" w:themeColor="text1"/>
          <w:sz w:val="24"/>
          <w:szCs w:val="24"/>
        </w:rPr>
        <w:t>Mobile:</w:t>
      </w:r>
      <w:r w:rsidRPr="006C576D">
        <w:rPr>
          <w:rFonts w:asciiTheme="minorHAnsi" w:hAnsiTheme="minorHAnsi"/>
          <w:color w:val="000000" w:themeColor="text1"/>
          <w:sz w:val="24"/>
          <w:szCs w:val="24"/>
        </w:rPr>
        <w:tab/>
        <w:t xml:space="preserve">  082 678 1185</w:t>
      </w:r>
    </w:p>
    <w:sectPr w:rsidR="00907A3D" w:rsidRPr="0047673D" w:rsidSect="00A44166">
      <w:footerReference w:type="default" r:id="rId10"/>
      <w:pgSz w:w="11906" w:h="16838"/>
      <w:pgMar w:top="993" w:right="1440" w:bottom="1135" w:left="1440" w:header="708" w:footer="708" w:gutter="0"/>
      <w:pgBorders w:offsetFrom="page">
        <w:top w:val="single" w:sz="18" w:space="24" w:color="E36C0A" w:themeColor="accent6" w:themeShade="BF"/>
        <w:left w:val="single" w:sz="18" w:space="24" w:color="E36C0A" w:themeColor="accent6" w:themeShade="BF"/>
        <w:bottom w:val="single" w:sz="18" w:space="24" w:color="E36C0A" w:themeColor="accent6" w:themeShade="BF"/>
        <w:right w:val="single" w:sz="18"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F63" w:rsidRDefault="00015F63" w:rsidP="00DB00B8">
      <w:r>
        <w:separator/>
      </w:r>
    </w:p>
  </w:endnote>
  <w:endnote w:type="continuationSeparator" w:id="0">
    <w:p w:rsidR="00015F63" w:rsidRDefault="00015F63" w:rsidP="00DB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295A62" w:rsidRPr="00B20B68">
      <w:tc>
        <w:tcPr>
          <w:tcW w:w="918" w:type="dxa"/>
        </w:tcPr>
        <w:p w:rsidR="00295A62" w:rsidRPr="00B20B68" w:rsidRDefault="00015F63" w:rsidP="008446E6">
          <w:pPr>
            <w:pStyle w:val="Footer"/>
            <w:jc w:val="center"/>
            <w:rPr>
              <w:b/>
              <w:bCs/>
              <w:color w:val="C00000"/>
              <w14:numForm w14:val="oldStyle"/>
            </w:rPr>
          </w:pPr>
          <w:r w:rsidRPr="00B20B68">
            <w:rPr>
              <w:color w:val="C00000"/>
              <w14:shadow w14:blurRad="50800" w14:dist="38100" w14:dir="2700000" w14:sx="100000" w14:sy="100000" w14:kx="0" w14:ky="0" w14:algn="tl">
                <w14:srgbClr w14:val="000000">
                  <w14:alpha w14:val="60000"/>
                </w14:srgbClr>
              </w14:shadow>
              <w14:numForm w14:val="oldStyle"/>
            </w:rPr>
            <w:fldChar w:fldCharType="begin"/>
          </w:r>
          <w:r w:rsidRPr="00B20B68">
            <w:rPr>
              <w:color w:val="C00000"/>
              <w14:shadow w14:blurRad="50800" w14:dist="38100" w14:dir="2700000" w14:sx="100000" w14:sy="100000" w14:kx="0" w14:ky="0" w14:algn="tl">
                <w14:srgbClr w14:val="000000">
                  <w14:alpha w14:val="60000"/>
                </w14:srgbClr>
              </w14:shadow>
              <w14:numForm w14:val="oldStyle"/>
            </w:rPr>
            <w:instrText xml:space="preserve"> PAGE   \* MERGEFORMAT </w:instrText>
          </w:r>
          <w:r w:rsidRPr="00B20B68">
            <w:rPr>
              <w:color w:val="C00000"/>
              <w14:shadow w14:blurRad="50800" w14:dist="38100" w14:dir="2700000" w14:sx="100000" w14:sy="100000" w14:kx="0" w14:ky="0" w14:algn="tl">
                <w14:srgbClr w14:val="000000">
                  <w14:alpha w14:val="60000"/>
                </w14:srgbClr>
              </w14:shadow>
              <w14:numForm w14:val="oldStyle"/>
            </w:rPr>
            <w:fldChar w:fldCharType="separate"/>
          </w:r>
          <w:r w:rsidR="0047673D" w:rsidRPr="0047673D">
            <w:rPr>
              <w:b/>
              <w:bCs/>
              <w:noProof/>
              <w:color w:val="C00000"/>
              <w14:shadow w14:blurRad="50800" w14:dist="38100" w14:dir="2700000" w14:sx="100000" w14:sy="100000" w14:kx="0" w14:ky="0" w14:algn="tl">
                <w14:srgbClr w14:val="000000">
                  <w14:alpha w14:val="60000"/>
                </w14:srgbClr>
              </w14:shadow>
              <w14:numForm w14:val="oldStyle"/>
            </w:rPr>
            <w:t>3</w:t>
          </w:r>
          <w:r w:rsidRPr="00B20B68">
            <w:rPr>
              <w:b/>
              <w:bCs/>
              <w:noProof/>
              <w:color w:val="C0000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95A62" w:rsidRPr="00B20B68" w:rsidRDefault="00DB00B8" w:rsidP="00295A62">
          <w:pPr>
            <w:rPr>
              <w:color w:val="C00000"/>
            </w:rPr>
          </w:pPr>
          <w:r>
            <w:rPr>
              <w:color w:val="C00000"/>
            </w:rPr>
            <w:t>Copyright © 2020</w:t>
          </w:r>
          <w:r w:rsidR="00015F63" w:rsidRPr="00B20B68">
            <w:rPr>
              <w:color w:val="C00000"/>
            </w:rPr>
            <w:t>, by Black Conveyancers Training Academy (BTA) All Rights Reserved.</w:t>
          </w:r>
        </w:p>
        <w:p w:rsidR="00295A62" w:rsidRPr="00B20B68" w:rsidRDefault="00956ED4">
          <w:pPr>
            <w:pStyle w:val="Footer"/>
            <w:rPr>
              <w:color w:val="C00000"/>
            </w:rPr>
          </w:pPr>
        </w:p>
      </w:tc>
    </w:tr>
  </w:tbl>
  <w:p w:rsidR="00295A62" w:rsidRDefault="0095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F63" w:rsidRDefault="00015F63" w:rsidP="00DB00B8">
      <w:r>
        <w:separator/>
      </w:r>
    </w:p>
  </w:footnote>
  <w:footnote w:type="continuationSeparator" w:id="0">
    <w:p w:rsidR="00015F63" w:rsidRDefault="00015F63" w:rsidP="00DB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17867"/>
    <w:multiLevelType w:val="hybridMultilevel"/>
    <w:tmpl w:val="B92EC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52737E5"/>
    <w:multiLevelType w:val="hybridMultilevel"/>
    <w:tmpl w:val="13D2B6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0B8"/>
    <w:rsid w:val="00015F63"/>
    <w:rsid w:val="0047673D"/>
    <w:rsid w:val="00707155"/>
    <w:rsid w:val="00907A3D"/>
    <w:rsid w:val="00956ED4"/>
    <w:rsid w:val="00DB00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C4B2"/>
  <w15:docId w15:val="{EE6AA5B7-212E-4023-9D8A-E40D3FB8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0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0B8"/>
    <w:rPr>
      <w:color w:val="0000FF"/>
      <w:u w:val="single"/>
    </w:rPr>
  </w:style>
  <w:style w:type="paragraph" w:styleId="NoSpacing">
    <w:name w:val="No Spacing"/>
    <w:basedOn w:val="Normal"/>
    <w:uiPriority w:val="1"/>
    <w:qFormat/>
    <w:rsid w:val="00DB00B8"/>
  </w:style>
  <w:style w:type="paragraph" w:styleId="Footer">
    <w:name w:val="footer"/>
    <w:basedOn w:val="Normal"/>
    <w:link w:val="FooterChar"/>
    <w:uiPriority w:val="99"/>
    <w:unhideWhenUsed/>
    <w:rsid w:val="00DB00B8"/>
    <w:pPr>
      <w:tabs>
        <w:tab w:val="center" w:pos="4513"/>
        <w:tab w:val="right" w:pos="9026"/>
      </w:tabs>
    </w:pPr>
  </w:style>
  <w:style w:type="character" w:customStyle="1" w:styleId="FooterChar">
    <w:name w:val="Footer Char"/>
    <w:basedOn w:val="DefaultParagraphFont"/>
    <w:link w:val="Footer"/>
    <w:uiPriority w:val="99"/>
    <w:rsid w:val="00DB00B8"/>
    <w:rPr>
      <w:rFonts w:ascii="Calibri" w:hAnsi="Calibri" w:cs="Times New Roman"/>
    </w:rPr>
  </w:style>
  <w:style w:type="table" w:styleId="TableGrid">
    <w:name w:val="Table Grid"/>
    <w:basedOn w:val="TableNormal"/>
    <w:uiPriority w:val="59"/>
    <w:rsid w:val="00DB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0B8"/>
    <w:pPr>
      <w:tabs>
        <w:tab w:val="center" w:pos="4513"/>
        <w:tab w:val="right" w:pos="9026"/>
      </w:tabs>
    </w:pPr>
  </w:style>
  <w:style w:type="character" w:customStyle="1" w:styleId="HeaderChar">
    <w:name w:val="Header Char"/>
    <w:basedOn w:val="DefaultParagraphFont"/>
    <w:link w:val="Header"/>
    <w:uiPriority w:val="99"/>
    <w:rsid w:val="00DB00B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neem@ourbestpractice.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sneem@ourbestpractic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Tasneem Kanjee</dc:creator>
  <cp:lastModifiedBy>De Villiers Johannes Smu, Johannes Smuts (LNG-ZAFZAF05)</cp:lastModifiedBy>
  <cp:revision>2</cp:revision>
  <dcterms:created xsi:type="dcterms:W3CDTF">2020-02-11T09:12:00Z</dcterms:created>
  <dcterms:modified xsi:type="dcterms:W3CDTF">2020-02-11T09:12:00Z</dcterms:modified>
</cp:coreProperties>
</file>